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7053"/>
      </w:tblGrid>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Course title</w:t>
            </w:r>
          </w:p>
        </w:tc>
        <w:tc>
          <w:tcPr>
            <w:tcW w:w="7053" w:type="dxa"/>
          </w:tcPr>
          <w:p w:rsidR="003B3923" w:rsidRPr="003B3923" w:rsidRDefault="003B3923" w:rsidP="003B3923">
            <w:pPr>
              <w:rPr>
                <w:rFonts w:ascii="Arial" w:hAnsi="Arial" w:cs="Arial"/>
                <w:b/>
                <w:sz w:val="20"/>
                <w:szCs w:val="20"/>
                <w:u w:val="single"/>
              </w:rPr>
            </w:pPr>
            <w:bookmarkStart w:id="0" w:name="_GoBack"/>
            <w:r w:rsidRPr="003B3923">
              <w:rPr>
                <w:rFonts w:ascii="Arial" w:eastAsia="Times New Roman" w:hAnsi="Arial" w:cs="Arial"/>
                <w:b/>
                <w:sz w:val="20"/>
                <w:szCs w:val="20"/>
                <w:u w:val="single"/>
              </w:rPr>
              <w:t>Business Analysis</w:t>
            </w:r>
          </w:p>
          <w:bookmarkEnd w:id="0"/>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Semester</w:t>
            </w:r>
          </w:p>
          <w:p w:rsidR="003B3923" w:rsidRPr="003B3923" w:rsidRDefault="003B3923" w:rsidP="003B3923">
            <w:pPr>
              <w:rPr>
                <w:rFonts w:ascii="Arial" w:hAnsi="Arial" w:cs="Arial"/>
                <w:sz w:val="20"/>
                <w:szCs w:val="20"/>
              </w:rPr>
            </w:pPr>
          </w:p>
        </w:tc>
        <w:tc>
          <w:tcPr>
            <w:tcW w:w="7053" w:type="dxa"/>
          </w:tcPr>
          <w:p w:rsidR="003B3923" w:rsidRPr="003B3923" w:rsidRDefault="003B3923" w:rsidP="003B3923">
            <w:pPr>
              <w:rPr>
                <w:rFonts w:ascii="Arial" w:hAnsi="Arial" w:cs="Arial"/>
                <w:sz w:val="20"/>
                <w:szCs w:val="20"/>
                <w:lang w:val="da-DK"/>
              </w:rPr>
            </w:pPr>
            <w:r w:rsidRPr="003B3923">
              <w:rPr>
                <w:rFonts w:ascii="Arial" w:hAnsi="Arial" w:cs="Arial"/>
                <w:sz w:val="20"/>
                <w:szCs w:val="20"/>
                <w:lang w:val="da-DK"/>
              </w:rPr>
              <w:t>Winter semester</w:t>
            </w:r>
          </w:p>
          <w:p w:rsidR="003B3923" w:rsidRPr="003B3923" w:rsidRDefault="003B3923" w:rsidP="003B3923">
            <w:pPr>
              <w:rPr>
                <w:rFonts w:ascii="Arial" w:hAnsi="Arial" w:cs="Arial"/>
                <w:sz w:val="20"/>
                <w:szCs w:val="20"/>
                <w:lang w:val="da-DK"/>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Faculty / Department</w:t>
            </w:r>
          </w:p>
        </w:tc>
        <w:tc>
          <w:tcPr>
            <w:tcW w:w="7053" w:type="dxa"/>
          </w:tcPr>
          <w:p w:rsidR="003B3923" w:rsidRPr="003B3923" w:rsidRDefault="003B3923" w:rsidP="003B3923">
            <w:pPr>
              <w:rPr>
                <w:rFonts w:ascii="Arial" w:eastAsia="Times New Roman" w:hAnsi="Arial" w:cs="Arial"/>
                <w:sz w:val="20"/>
                <w:szCs w:val="20"/>
              </w:rPr>
            </w:pPr>
            <w:r w:rsidRPr="003B3923">
              <w:rPr>
                <w:rFonts w:ascii="Arial" w:eastAsia="Times New Roman" w:hAnsi="Arial" w:cs="Arial"/>
                <w:sz w:val="20"/>
                <w:szCs w:val="20"/>
              </w:rPr>
              <w:t>Faculty of Business Studies</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Professor</w:t>
            </w:r>
          </w:p>
        </w:tc>
        <w:tc>
          <w:tcPr>
            <w:tcW w:w="7053" w:type="dxa"/>
          </w:tcPr>
          <w:p w:rsidR="003B3923" w:rsidRPr="003B3923" w:rsidRDefault="003B3923" w:rsidP="003B3923">
            <w:pPr>
              <w:rPr>
                <w:rFonts w:ascii="Arial" w:hAnsi="Arial" w:cs="Arial"/>
                <w:sz w:val="20"/>
                <w:szCs w:val="20"/>
              </w:rPr>
            </w:pPr>
            <w:r w:rsidRPr="003B3923">
              <w:rPr>
                <w:rFonts w:ascii="Arial" w:eastAsia="Times New Roman" w:hAnsi="Arial" w:cs="Arial"/>
                <w:sz w:val="20"/>
                <w:szCs w:val="20"/>
              </w:rPr>
              <w:t>Doc. Ranka Mitrović, PhD</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ECTS credits</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8</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Language of instruction</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English</w:t>
            </w: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Level of study</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Bachelor</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Content</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1. The concept, forms, types and methods of analysis.</w:t>
            </w:r>
          </w:p>
          <w:p w:rsidR="003B3923" w:rsidRPr="003B3923" w:rsidRDefault="003B3923" w:rsidP="003B3923">
            <w:pPr>
              <w:rPr>
                <w:rFonts w:ascii="Arial" w:hAnsi="Arial" w:cs="Arial"/>
                <w:sz w:val="20"/>
                <w:szCs w:val="20"/>
              </w:rPr>
            </w:pPr>
            <w:r w:rsidRPr="003B3923">
              <w:rPr>
                <w:rFonts w:ascii="Arial" w:hAnsi="Arial" w:cs="Arial"/>
                <w:sz w:val="20"/>
                <w:szCs w:val="20"/>
              </w:rPr>
              <w:t>2. Analysis of the balance sheet.</w:t>
            </w:r>
          </w:p>
          <w:p w:rsidR="003B3923" w:rsidRPr="003B3923" w:rsidRDefault="003B3923" w:rsidP="003B3923">
            <w:pPr>
              <w:rPr>
                <w:rFonts w:ascii="Arial" w:hAnsi="Arial" w:cs="Arial"/>
                <w:sz w:val="20"/>
                <w:szCs w:val="20"/>
              </w:rPr>
            </w:pPr>
            <w:r w:rsidRPr="003B3923">
              <w:rPr>
                <w:rFonts w:ascii="Arial" w:hAnsi="Arial" w:cs="Arial"/>
                <w:sz w:val="20"/>
                <w:szCs w:val="20"/>
              </w:rPr>
              <w:t>3. Analysis of cash flow statement.</w:t>
            </w:r>
          </w:p>
          <w:p w:rsidR="003B3923" w:rsidRPr="003B3923" w:rsidRDefault="003B3923" w:rsidP="003B3923">
            <w:pPr>
              <w:rPr>
                <w:rFonts w:ascii="Arial" w:hAnsi="Arial" w:cs="Arial"/>
                <w:sz w:val="20"/>
                <w:szCs w:val="20"/>
              </w:rPr>
            </w:pPr>
            <w:r w:rsidRPr="003B3923">
              <w:rPr>
                <w:rFonts w:ascii="Arial" w:hAnsi="Arial" w:cs="Arial"/>
                <w:sz w:val="20"/>
                <w:szCs w:val="20"/>
              </w:rPr>
              <w:t>4. Analysis of cash flow reports.</w:t>
            </w:r>
          </w:p>
          <w:p w:rsidR="003B3923" w:rsidRPr="003B3923" w:rsidRDefault="003B3923" w:rsidP="003B3923">
            <w:pPr>
              <w:rPr>
                <w:rFonts w:ascii="Arial" w:hAnsi="Arial" w:cs="Arial"/>
                <w:sz w:val="20"/>
                <w:szCs w:val="20"/>
              </w:rPr>
            </w:pPr>
            <w:r w:rsidRPr="003B3923">
              <w:rPr>
                <w:rFonts w:ascii="Arial" w:hAnsi="Arial" w:cs="Arial"/>
                <w:sz w:val="20"/>
                <w:szCs w:val="20"/>
              </w:rPr>
              <w:t>5. Ratio analysis of financial statements.</w:t>
            </w:r>
          </w:p>
          <w:p w:rsidR="003B3923" w:rsidRPr="003B3923" w:rsidRDefault="003B3923" w:rsidP="003B3923">
            <w:pPr>
              <w:rPr>
                <w:rFonts w:ascii="Arial" w:hAnsi="Arial" w:cs="Arial"/>
                <w:sz w:val="20"/>
                <w:szCs w:val="20"/>
              </w:rPr>
            </w:pPr>
            <w:r w:rsidRPr="003B3923">
              <w:rPr>
                <w:rFonts w:ascii="Arial" w:hAnsi="Arial" w:cs="Arial"/>
                <w:sz w:val="20"/>
                <w:szCs w:val="20"/>
              </w:rPr>
              <w:t>6. Analysis of fixed assets.</w:t>
            </w:r>
          </w:p>
          <w:p w:rsidR="003B3923" w:rsidRPr="003B3923" w:rsidRDefault="003B3923" w:rsidP="003B3923">
            <w:pPr>
              <w:rPr>
                <w:rFonts w:ascii="Arial" w:hAnsi="Arial" w:cs="Arial"/>
                <w:sz w:val="20"/>
                <w:szCs w:val="20"/>
              </w:rPr>
            </w:pPr>
            <w:r w:rsidRPr="003B3923">
              <w:rPr>
                <w:rFonts w:ascii="Arial" w:hAnsi="Arial" w:cs="Arial"/>
                <w:sz w:val="20"/>
                <w:szCs w:val="20"/>
              </w:rPr>
              <w:t>7. Analysis of working capital.</w:t>
            </w:r>
          </w:p>
          <w:p w:rsidR="003B3923" w:rsidRPr="003B3923" w:rsidRDefault="003B3923" w:rsidP="003B3923">
            <w:pPr>
              <w:rPr>
                <w:rFonts w:ascii="Arial" w:hAnsi="Arial" w:cs="Arial"/>
                <w:sz w:val="20"/>
                <w:szCs w:val="20"/>
              </w:rPr>
            </w:pPr>
            <w:r w:rsidRPr="003B3923">
              <w:rPr>
                <w:rFonts w:ascii="Arial" w:hAnsi="Arial" w:cs="Arial"/>
                <w:sz w:val="20"/>
                <w:szCs w:val="20"/>
              </w:rPr>
              <w:t>8.Analysis of net working capital.</w:t>
            </w:r>
          </w:p>
          <w:p w:rsidR="003B3923" w:rsidRPr="003B3923" w:rsidRDefault="003B3923" w:rsidP="003B3923">
            <w:pPr>
              <w:rPr>
                <w:rFonts w:ascii="Arial" w:hAnsi="Arial" w:cs="Arial"/>
                <w:sz w:val="20"/>
                <w:szCs w:val="20"/>
              </w:rPr>
            </w:pPr>
            <w:r w:rsidRPr="003B3923">
              <w:rPr>
                <w:rFonts w:ascii="Arial" w:hAnsi="Arial" w:cs="Arial"/>
                <w:sz w:val="20"/>
                <w:szCs w:val="20"/>
              </w:rPr>
              <w:t>9. Cost analysis.</w:t>
            </w:r>
          </w:p>
          <w:p w:rsidR="003B3923" w:rsidRPr="003B3923" w:rsidRDefault="003B3923" w:rsidP="003B3923">
            <w:pPr>
              <w:rPr>
                <w:rFonts w:ascii="Arial" w:hAnsi="Arial" w:cs="Arial"/>
                <w:sz w:val="20"/>
                <w:szCs w:val="20"/>
              </w:rPr>
            </w:pPr>
            <w:r w:rsidRPr="003B3923">
              <w:rPr>
                <w:rFonts w:ascii="Arial" w:hAnsi="Arial" w:cs="Arial"/>
                <w:sz w:val="20"/>
                <w:szCs w:val="20"/>
              </w:rPr>
              <w:t>10. Determining the value of the corporation</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Learning outcomes</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Students will gain the necessary knowledge in the field of business analysis of modern companies, necessary for application in other cases and operations of their institutions.</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Length</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One semester.</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General information</w:t>
            </w: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Objectives are to complete the knowledge about how students study and evaluate business operations with emphasis on detection and interpretation of internal reserves and internal business optimization capabilities. Today, it is a major lever for achieving growth and development of modern companies in achieving strategic goals.</w:t>
            </w:r>
          </w:p>
          <w:p w:rsidR="003B3923" w:rsidRPr="003B3923" w:rsidRDefault="003B3923" w:rsidP="003B3923">
            <w:pPr>
              <w:rPr>
                <w:rFonts w:ascii="Arial" w:hAnsi="Arial" w:cs="Arial"/>
                <w:sz w:val="20"/>
                <w:szCs w:val="20"/>
              </w:rPr>
            </w:pPr>
          </w:p>
        </w:tc>
      </w:tr>
      <w:tr w:rsidR="003B3923" w:rsidRPr="003B3923" w:rsidTr="003B3923">
        <w:tc>
          <w:tcPr>
            <w:tcW w:w="2235" w:type="dxa"/>
            <w:shd w:val="clear" w:color="auto" w:fill="C4BC96"/>
          </w:tcPr>
          <w:p w:rsidR="003B3923" w:rsidRPr="003B3923" w:rsidRDefault="003B3923" w:rsidP="003B3923">
            <w:pPr>
              <w:rPr>
                <w:rFonts w:ascii="Arial" w:hAnsi="Arial" w:cs="Arial"/>
                <w:sz w:val="20"/>
                <w:szCs w:val="20"/>
              </w:rPr>
            </w:pPr>
            <w:r w:rsidRPr="003B3923">
              <w:rPr>
                <w:rFonts w:ascii="Arial" w:hAnsi="Arial" w:cs="Arial"/>
                <w:sz w:val="20"/>
                <w:szCs w:val="20"/>
              </w:rPr>
              <w:t>Restrictions to mobile students and availability before the signature of the learning agreement</w:t>
            </w:r>
          </w:p>
          <w:p w:rsidR="003B3923" w:rsidRPr="003B3923" w:rsidRDefault="003B3923" w:rsidP="003B3923">
            <w:pPr>
              <w:rPr>
                <w:rFonts w:ascii="Arial" w:hAnsi="Arial" w:cs="Arial"/>
                <w:sz w:val="20"/>
                <w:szCs w:val="20"/>
              </w:rPr>
            </w:pPr>
          </w:p>
        </w:tc>
        <w:tc>
          <w:tcPr>
            <w:tcW w:w="7053" w:type="dxa"/>
          </w:tcPr>
          <w:p w:rsidR="003B3923" w:rsidRPr="003B3923" w:rsidRDefault="003B3923" w:rsidP="003B3923">
            <w:pPr>
              <w:rPr>
                <w:rFonts w:ascii="Arial" w:hAnsi="Arial" w:cs="Arial"/>
                <w:sz w:val="20"/>
                <w:szCs w:val="20"/>
              </w:rPr>
            </w:pPr>
            <w:r w:rsidRPr="003B3923">
              <w:rPr>
                <w:rFonts w:ascii="Arial" w:hAnsi="Arial" w:cs="Arial"/>
                <w:sz w:val="20"/>
                <w:szCs w:val="20"/>
              </w:rPr>
              <w:t>There is no any restrictions.</w:t>
            </w:r>
          </w:p>
          <w:p w:rsidR="003B3923" w:rsidRPr="003B3923" w:rsidRDefault="003B3923" w:rsidP="003B3923">
            <w:pPr>
              <w:rPr>
                <w:rFonts w:ascii="Arial" w:hAnsi="Arial" w:cs="Arial"/>
                <w:sz w:val="20"/>
                <w:szCs w:val="20"/>
              </w:rPr>
            </w:pPr>
          </w:p>
          <w:p w:rsidR="003B3923" w:rsidRPr="003B3923" w:rsidRDefault="003B3923" w:rsidP="003B3923">
            <w:pPr>
              <w:rPr>
                <w:rFonts w:ascii="Arial" w:hAnsi="Arial" w:cs="Arial"/>
                <w:sz w:val="20"/>
                <w:szCs w:val="20"/>
              </w:rPr>
            </w:pPr>
          </w:p>
          <w:p w:rsidR="003B3923" w:rsidRPr="003B3923" w:rsidRDefault="003B3923" w:rsidP="003B3923">
            <w:pPr>
              <w:rPr>
                <w:rFonts w:ascii="Arial" w:hAnsi="Arial" w:cs="Arial"/>
                <w:sz w:val="20"/>
                <w:szCs w:val="20"/>
              </w:rPr>
            </w:pPr>
          </w:p>
        </w:tc>
      </w:tr>
    </w:tbl>
    <w:p w:rsidR="00FE45CD" w:rsidRDefault="00FE45CD"/>
    <w:sectPr w:rsidR="00FE45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23"/>
    <w:rsid w:val="003B3923"/>
    <w:rsid w:val="00FE4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BE40F-E131-475A-8A91-8A2A14BD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3923"/>
    <w:pPr>
      <w:spacing w:after="0" w:line="240" w:lineRule="auto"/>
    </w:pPr>
    <w:rPr>
      <w:rFonts w:eastAsia="Calibri"/>
      <w:lang w:val="sr-Latn-R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Brankica Markovic</dc:creator>
  <cp:keywords/>
  <dc:description/>
  <cp:lastModifiedBy>Brankica Markovic</cp:lastModifiedBy>
  <cp:revision>1</cp:revision>
  <dcterms:created xsi:type="dcterms:W3CDTF">2018-04-03T11:39:00Z</dcterms:created>
  <dcterms:modified xsi:type="dcterms:W3CDTF">2018-04-03T11:39:00Z</dcterms:modified>
</cp:coreProperties>
</file>