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B5316D" w:rsidRPr="00B5316D" w:rsidTr="00B5316D">
        <w:tc>
          <w:tcPr>
            <w:tcW w:w="2235" w:type="dxa"/>
            <w:shd w:val="clear" w:color="auto" w:fill="C4BC96"/>
          </w:tcPr>
          <w:p w:rsidR="00B5316D" w:rsidRPr="00B5316D" w:rsidRDefault="00B5316D" w:rsidP="00B5316D">
            <w:pPr>
              <w:rPr>
                <w:rFonts w:ascii="Arial" w:hAnsi="Arial" w:cs="Arial"/>
                <w:sz w:val="20"/>
                <w:szCs w:val="20"/>
              </w:rPr>
            </w:pPr>
            <w:r w:rsidRPr="00B5316D">
              <w:rPr>
                <w:rFonts w:ascii="Arial" w:hAnsi="Arial" w:cs="Arial"/>
                <w:sz w:val="20"/>
                <w:szCs w:val="20"/>
              </w:rPr>
              <w:t>Course title</w:t>
            </w:r>
          </w:p>
        </w:tc>
        <w:tc>
          <w:tcPr>
            <w:tcW w:w="7053" w:type="dxa"/>
          </w:tcPr>
          <w:p w:rsidR="00B5316D" w:rsidRPr="00B5316D" w:rsidRDefault="00B5316D" w:rsidP="00B5316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bookmarkStart w:id="0" w:name="_GoBack"/>
            <w:r w:rsidRPr="00B5316D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Consumer Behaviour</w:t>
            </w:r>
          </w:p>
          <w:bookmarkEnd w:id="0"/>
          <w:p w:rsidR="00B5316D" w:rsidRPr="00B5316D" w:rsidRDefault="00B5316D" w:rsidP="00B531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16D" w:rsidRPr="00B5316D" w:rsidTr="00B5316D">
        <w:tc>
          <w:tcPr>
            <w:tcW w:w="2235" w:type="dxa"/>
            <w:shd w:val="clear" w:color="auto" w:fill="C4BC96"/>
          </w:tcPr>
          <w:p w:rsidR="00B5316D" w:rsidRPr="00B5316D" w:rsidRDefault="00B5316D" w:rsidP="00B5316D">
            <w:pPr>
              <w:rPr>
                <w:rFonts w:ascii="Arial" w:hAnsi="Arial" w:cs="Arial"/>
                <w:sz w:val="20"/>
                <w:szCs w:val="20"/>
              </w:rPr>
            </w:pPr>
            <w:r w:rsidRPr="00B5316D">
              <w:rPr>
                <w:rFonts w:ascii="Arial" w:hAnsi="Arial" w:cs="Arial"/>
                <w:sz w:val="20"/>
                <w:szCs w:val="20"/>
              </w:rPr>
              <w:t>Semester</w:t>
            </w:r>
          </w:p>
          <w:p w:rsidR="00B5316D" w:rsidRPr="00B5316D" w:rsidRDefault="00B5316D" w:rsidP="00B53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:rsidR="00B5316D" w:rsidRPr="00B5316D" w:rsidRDefault="00B5316D" w:rsidP="00B5316D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B5316D">
              <w:rPr>
                <w:rFonts w:ascii="Arial" w:hAnsi="Arial" w:cs="Arial"/>
                <w:sz w:val="20"/>
                <w:szCs w:val="20"/>
                <w:lang w:val="da-DK"/>
              </w:rPr>
              <w:t>Spring semester</w:t>
            </w:r>
          </w:p>
          <w:p w:rsidR="00B5316D" w:rsidRPr="00B5316D" w:rsidRDefault="00B5316D" w:rsidP="00B5316D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B5316D" w:rsidRPr="00B5316D" w:rsidTr="00B5316D">
        <w:tc>
          <w:tcPr>
            <w:tcW w:w="2235" w:type="dxa"/>
            <w:shd w:val="clear" w:color="auto" w:fill="C4BC96"/>
          </w:tcPr>
          <w:p w:rsidR="00B5316D" w:rsidRPr="00B5316D" w:rsidRDefault="00B5316D" w:rsidP="00B5316D">
            <w:pPr>
              <w:rPr>
                <w:rFonts w:ascii="Arial" w:hAnsi="Arial" w:cs="Arial"/>
                <w:sz w:val="20"/>
                <w:szCs w:val="20"/>
              </w:rPr>
            </w:pPr>
            <w:r w:rsidRPr="00B5316D">
              <w:rPr>
                <w:rFonts w:ascii="Arial" w:hAnsi="Arial" w:cs="Arial"/>
                <w:sz w:val="20"/>
                <w:szCs w:val="20"/>
              </w:rPr>
              <w:t>Faculty / Department</w:t>
            </w:r>
          </w:p>
        </w:tc>
        <w:tc>
          <w:tcPr>
            <w:tcW w:w="7053" w:type="dxa"/>
          </w:tcPr>
          <w:p w:rsidR="00B5316D" w:rsidRPr="00B5316D" w:rsidRDefault="00B5316D" w:rsidP="00B5316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5316D">
              <w:rPr>
                <w:rFonts w:ascii="Arial" w:eastAsia="Times New Roman" w:hAnsi="Arial" w:cs="Arial"/>
                <w:sz w:val="20"/>
                <w:szCs w:val="20"/>
              </w:rPr>
              <w:t>Faculty of Business Studies</w:t>
            </w:r>
          </w:p>
          <w:p w:rsidR="00B5316D" w:rsidRPr="00B5316D" w:rsidRDefault="00B5316D" w:rsidP="00B531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16D" w:rsidRPr="00B5316D" w:rsidTr="00B5316D">
        <w:tc>
          <w:tcPr>
            <w:tcW w:w="2235" w:type="dxa"/>
            <w:shd w:val="clear" w:color="auto" w:fill="C4BC96"/>
          </w:tcPr>
          <w:p w:rsidR="00B5316D" w:rsidRPr="00B5316D" w:rsidRDefault="00B5316D" w:rsidP="00B5316D">
            <w:pPr>
              <w:rPr>
                <w:rFonts w:ascii="Arial" w:hAnsi="Arial" w:cs="Arial"/>
                <w:sz w:val="20"/>
                <w:szCs w:val="20"/>
              </w:rPr>
            </w:pPr>
            <w:r w:rsidRPr="00B5316D">
              <w:rPr>
                <w:rFonts w:ascii="Arial" w:hAnsi="Arial" w:cs="Arial"/>
                <w:sz w:val="20"/>
                <w:szCs w:val="20"/>
              </w:rPr>
              <w:t>Professor</w:t>
            </w:r>
          </w:p>
        </w:tc>
        <w:tc>
          <w:tcPr>
            <w:tcW w:w="7053" w:type="dxa"/>
          </w:tcPr>
          <w:p w:rsidR="00B5316D" w:rsidRPr="00B5316D" w:rsidRDefault="00B5316D" w:rsidP="00B5316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5316D">
              <w:rPr>
                <w:rFonts w:ascii="Arial" w:eastAsia="Times New Roman" w:hAnsi="Arial" w:cs="Arial"/>
                <w:sz w:val="20"/>
                <w:szCs w:val="20"/>
              </w:rPr>
              <w:t>Doc. Mirjana Tankosić, PhD</w:t>
            </w:r>
          </w:p>
          <w:p w:rsidR="00B5316D" w:rsidRPr="00B5316D" w:rsidRDefault="00B5316D" w:rsidP="00B531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16D" w:rsidRPr="00B5316D" w:rsidTr="00B5316D">
        <w:tc>
          <w:tcPr>
            <w:tcW w:w="2235" w:type="dxa"/>
            <w:shd w:val="clear" w:color="auto" w:fill="C4BC96"/>
          </w:tcPr>
          <w:p w:rsidR="00B5316D" w:rsidRPr="00B5316D" w:rsidRDefault="00B5316D" w:rsidP="00B5316D">
            <w:pPr>
              <w:rPr>
                <w:rFonts w:ascii="Arial" w:hAnsi="Arial" w:cs="Arial"/>
                <w:sz w:val="20"/>
                <w:szCs w:val="20"/>
              </w:rPr>
            </w:pPr>
            <w:r w:rsidRPr="00B5316D">
              <w:rPr>
                <w:rFonts w:ascii="Arial" w:hAnsi="Arial" w:cs="Arial"/>
                <w:sz w:val="20"/>
                <w:szCs w:val="20"/>
              </w:rPr>
              <w:t>ECTS credits</w:t>
            </w:r>
          </w:p>
        </w:tc>
        <w:tc>
          <w:tcPr>
            <w:tcW w:w="7053" w:type="dxa"/>
          </w:tcPr>
          <w:p w:rsidR="00B5316D" w:rsidRPr="00B5316D" w:rsidRDefault="00B5316D" w:rsidP="00B5316D">
            <w:pPr>
              <w:rPr>
                <w:rFonts w:ascii="Arial" w:hAnsi="Arial" w:cs="Arial"/>
                <w:sz w:val="20"/>
                <w:szCs w:val="20"/>
              </w:rPr>
            </w:pPr>
            <w:r w:rsidRPr="00B5316D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B5316D" w:rsidRPr="00B5316D" w:rsidRDefault="00B5316D" w:rsidP="00B531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16D" w:rsidRPr="00B5316D" w:rsidTr="00B5316D">
        <w:tc>
          <w:tcPr>
            <w:tcW w:w="2235" w:type="dxa"/>
            <w:shd w:val="clear" w:color="auto" w:fill="C4BC96"/>
          </w:tcPr>
          <w:p w:rsidR="00B5316D" w:rsidRPr="00B5316D" w:rsidRDefault="00B5316D" w:rsidP="00B5316D">
            <w:pPr>
              <w:rPr>
                <w:rFonts w:ascii="Arial" w:hAnsi="Arial" w:cs="Arial"/>
                <w:sz w:val="20"/>
                <w:szCs w:val="20"/>
              </w:rPr>
            </w:pPr>
            <w:r w:rsidRPr="00B5316D">
              <w:rPr>
                <w:rFonts w:ascii="Arial" w:hAnsi="Arial" w:cs="Arial"/>
                <w:sz w:val="20"/>
                <w:szCs w:val="20"/>
              </w:rPr>
              <w:t>Language of instruction</w:t>
            </w:r>
          </w:p>
        </w:tc>
        <w:tc>
          <w:tcPr>
            <w:tcW w:w="7053" w:type="dxa"/>
          </w:tcPr>
          <w:p w:rsidR="00B5316D" w:rsidRPr="00B5316D" w:rsidRDefault="00B5316D" w:rsidP="00B5316D">
            <w:pPr>
              <w:rPr>
                <w:rFonts w:ascii="Arial" w:hAnsi="Arial" w:cs="Arial"/>
                <w:sz w:val="20"/>
                <w:szCs w:val="20"/>
              </w:rPr>
            </w:pPr>
            <w:r w:rsidRPr="00B5316D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B5316D" w:rsidRPr="00B5316D" w:rsidTr="00B5316D">
        <w:tc>
          <w:tcPr>
            <w:tcW w:w="2235" w:type="dxa"/>
            <w:shd w:val="clear" w:color="auto" w:fill="C4BC96"/>
          </w:tcPr>
          <w:p w:rsidR="00B5316D" w:rsidRPr="00B5316D" w:rsidRDefault="00B5316D" w:rsidP="00B5316D">
            <w:pPr>
              <w:rPr>
                <w:rFonts w:ascii="Arial" w:hAnsi="Arial" w:cs="Arial"/>
                <w:sz w:val="20"/>
                <w:szCs w:val="20"/>
              </w:rPr>
            </w:pPr>
            <w:r w:rsidRPr="00B5316D">
              <w:rPr>
                <w:rFonts w:ascii="Arial" w:hAnsi="Arial" w:cs="Arial"/>
                <w:sz w:val="20"/>
                <w:szCs w:val="20"/>
              </w:rPr>
              <w:t>Level of study</w:t>
            </w:r>
          </w:p>
        </w:tc>
        <w:tc>
          <w:tcPr>
            <w:tcW w:w="7053" w:type="dxa"/>
          </w:tcPr>
          <w:p w:rsidR="00B5316D" w:rsidRPr="00B5316D" w:rsidRDefault="00B5316D" w:rsidP="00B5316D">
            <w:pPr>
              <w:rPr>
                <w:rFonts w:ascii="Arial" w:hAnsi="Arial" w:cs="Arial"/>
                <w:sz w:val="20"/>
                <w:szCs w:val="20"/>
              </w:rPr>
            </w:pPr>
            <w:r w:rsidRPr="00B5316D">
              <w:rPr>
                <w:rFonts w:ascii="Arial" w:hAnsi="Arial" w:cs="Arial"/>
                <w:sz w:val="20"/>
                <w:szCs w:val="20"/>
              </w:rPr>
              <w:t>Bachelor</w:t>
            </w:r>
          </w:p>
          <w:p w:rsidR="00B5316D" w:rsidRPr="00B5316D" w:rsidRDefault="00B5316D" w:rsidP="00B531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16D" w:rsidRPr="00B5316D" w:rsidTr="00B5316D">
        <w:tc>
          <w:tcPr>
            <w:tcW w:w="2235" w:type="dxa"/>
            <w:shd w:val="clear" w:color="auto" w:fill="C4BC96"/>
          </w:tcPr>
          <w:p w:rsidR="00B5316D" w:rsidRPr="00B5316D" w:rsidRDefault="00B5316D" w:rsidP="00B5316D">
            <w:pPr>
              <w:rPr>
                <w:rFonts w:ascii="Arial" w:hAnsi="Arial" w:cs="Arial"/>
                <w:sz w:val="20"/>
                <w:szCs w:val="20"/>
              </w:rPr>
            </w:pPr>
            <w:r w:rsidRPr="00B5316D"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  <w:tc>
          <w:tcPr>
            <w:tcW w:w="7053" w:type="dxa"/>
          </w:tcPr>
          <w:p w:rsidR="00B5316D" w:rsidRPr="00B5316D" w:rsidRDefault="00B5316D" w:rsidP="00B5316D">
            <w:pPr>
              <w:rPr>
                <w:rFonts w:ascii="Arial" w:hAnsi="Arial" w:cs="Arial"/>
                <w:sz w:val="20"/>
                <w:szCs w:val="20"/>
              </w:rPr>
            </w:pPr>
            <w:r w:rsidRPr="00B5316D">
              <w:rPr>
                <w:rFonts w:ascii="Arial" w:hAnsi="Arial" w:cs="Arial"/>
                <w:sz w:val="20"/>
                <w:szCs w:val="20"/>
              </w:rPr>
              <w:t>1. The study of consumer behavior.</w:t>
            </w:r>
          </w:p>
          <w:p w:rsidR="00B5316D" w:rsidRPr="00B5316D" w:rsidRDefault="00B5316D" w:rsidP="00B5316D">
            <w:pPr>
              <w:rPr>
                <w:rFonts w:ascii="Arial" w:hAnsi="Arial" w:cs="Arial"/>
                <w:sz w:val="20"/>
                <w:szCs w:val="20"/>
              </w:rPr>
            </w:pPr>
            <w:r w:rsidRPr="00B5316D">
              <w:rPr>
                <w:rFonts w:ascii="Arial" w:hAnsi="Arial" w:cs="Arial"/>
                <w:sz w:val="20"/>
                <w:szCs w:val="20"/>
              </w:rPr>
              <w:t>2. Consumer behaviour and marketing strategy.</w:t>
            </w:r>
          </w:p>
          <w:p w:rsidR="00B5316D" w:rsidRPr="00B5316D" w:rsidRDefault="00B5316D" w:rsidP="00B5316D">
            <w:pPr>
              <w:rPr>
                <w:rFonts w:ascii="Arial" w:hAnsi="Arial" w:cs="Arial"/>
                <w:sz w:val="20"/>
                <w:szCs w:val="20"/>
              </w:rPr>
            </w:pPr>
            <w:r w:rsidRPr="00B5316D">
              <w:rPr>
                <w:rFonts w:ascii="Arial" w:hAnsi="Arial" w:cs="Arial"/>
                <w:sz w:val="20"/>
                <w:szCs w:val="20"/>
              </w:rPr>
              <w:t>3. Interdisciplinary consumer behaviour.</w:t>
            </w:r>
          </w:p>
          <w:p w:rsidR="00B5316D" w:rsidRPr="00B5316D" w:rsidRDefault="00B5316D" w:rsidP="00B5316D">
            <w:pPr>
              <w:rPr>
                <w:rFonts w:ascii="Arial" w:hAnsi="Arial" w:cs="Arial"/>
                <w:sz w:val="20"/>
                <w:szCs w:val="20"/>
              </w:rPr>
            </w:pPr>
            <w:r w:rsidRPr="00B5316D">
              <w:rPr>
                <w:rFonts w:ascii="Arial" w:hAnsi="Arial" w:cs="Arial"/>
                <w:sz w:val="20"/>
                <w:szCs w:val="20"/>
              </w:rPr>
              <w:t>4. Factors of behaving of final consumers - the basis for market segmentation.</w:t>
            </w:r>
          </w:p>
          <w:p w:rsidR="00B5316D" w:rsidRPr="00B5316D" w:rsidRDefault="00B5316D" w:rsidP="00B5316D">
            <w:pPr>
              <w:rPr>
                <w:rFonts w:ascii="Arial" w:hAnsi="Arial" w:cs="Arial"/>
                <w:sz w:val="20"/>
                <w:szCs w:val="20"/>
              </w:rPr>
            </w:pPr>
            <w:r w:rsidRPr="00B5316D">
              <w:rPr>
                <w:rFonts w:ascii="Arial" w:hAnsi="Arial" w:cs="Arial"/>
                <w:sz w:val="20"/>
                <w:szCs w:val="20"/>
              </w:rPr>
              <w:t>5. Geographic and demographic factors, behaviour of end consumers.</w:t>
            </w:r>
          </w:p>
          <w:p w:rsidR="00B5316D" w:rsidRPr="00B5316D" w:rsidRDefault="00B5316D" w:rsidP="00B5316D">
            <w:pPr>
              <w:rPr>
                <w:rFonts w:ascii="Arial" w:hAnsi="Arial" w:cs="Arial"/>
                <w:sz w:val="20"/>
                <w:szCs w:val="20"/>
              </w:rPr>
            </w:pPr>
            <w:r w:rsidRPr="00B5316D">
              <w:rPr>
                <w:rFonts w:ascii="Arial" w:hAnsi="Arial" w:cs="Arial"/>
                <w:sz w:val="20"/>
                <w:szCs w:val="20"/>
              </w:rPr>
              <w:t>6. Economic and social factors, behaviour of end consumers.</w:t>
            </w:r>
          </w:p>
          <w:p w:rsidR="00B5316D" w:rsidRPr="00B5316D" w:rsidRDefault="00B5316D" w:rsidP="00B5316D">
            <w:pPr>
              <w:rPr>
                <w:rFonts w:ascii="Arial" w:hAnsi="Arial" w:cs="Arial"/>
                <w:sz w:val="20"/>
                <w:szCs w:val="20"/>
              </w:rPr>
            </w:pPr>
            <w:r w:rsidRPr="00B5316D">
              <w:rPr>
                <w:rFonts w:ascii="Arial" w:hAnsi="Arial" w:cs="Arial"/>
                <w:sz w:val="20"/>
                <w:szCs w:val="20"/>
              </w:rPr>
              <w:t>7. The psychological and situational factors behaviour of end consumers.</w:t>
            </w:r>
          </w:p>
          <w:p w:rsidR="00B5316D" w:rsidRPr="00B5316D" w:rsidRDefault="00B5316D" w:rsidP="00B5316D">
            <w:pPr>
              <w:rPr>
                <w:rFonts w:ascii="Arial" w:hAnsi="Arial" w:cs="Arial"/>
                <w:sz w:val="20"/>
                <w:szCs w:val="20"/>
              </w:rPr>
            </w:pPr>
            <w:r w:rsidRPr="00B5316D">
              <w:rPr>
                <w:rFonts w:ascii="Arial" w:hAnsi="Arial" w:cs="Arial"/>
                <w:sz w:val="20"/>
                <w:szCs w:val="20"/>
              </w:rPr>
              <w:t>8. The process of deciding to buy by the end users.</w:t>
            </w:r>
          </w:p>
          <w:p w:rsidR="00B5316D" w:rsidRPr="00B5316D" w:rsidRDefault="00B5316D" w:rsidP="00B5316D">
            <w:pPr>
              <w:rPr>
                <w:rFonts w:ascii="Arial" w:hAnsi="Arial" w:cs="Arial"/>
                <w:sz w:val="20"/>
                <w:szCs w:val="20"/>
              </w:rPr>
            </w:pPr>
            <w:r w:rsidRPr="00B5316D">
              <w:rPr>
                <w:rFonts w:ascii="Arial" w:hAnsi="Arial" w:cs="Arial"/>
                <w:sz w:val="20"/>
                <w:szCs w:val="20"/>
              </w:rPr>
              <w:t>9. Models of deciding to buy by the end users.</w:t>
            </w:r>
          </w:p>
          <w:p w:rsidR="00B5316D" w:rsidRPr="00B5316D" w:rsidRDefault="00B5316D" w:rsidP="00B5316D">
            <w:pPr>
              <w:rPr>
                <w:rFonts w:ascii="Arial" w:hAnsi="Arial" w:cs="Arial"/>
                <w:sz w:val="20"/>
                <w:szCs w:val="20"/>
              </w:rPr>
            </w:pPr>
            <w:r w:rsidRPr="00B5316D">
              <w:rPr>
                <w:rFonts w:ascii="Arial" w:hAnsi="Arial" w:cs="Arial"/>
                <w:sz w:val="20"/>
                <w:szCs w:val="20"/>
              </w:rPr>
              <w:t>10.  Organizational behaviour as buyers in the industrial market - needs and motives of organizations regarding buying.</w:t>
            </w:r>
          </w:p>
          <w:p w:rsidR="00B5316D" w:rsidRPr="00B5316D" w:rsidRDefault="00B5316D" w:rsidP="00B5316D">
            <w:pPr>
              <w:rPr>
                <w:rFonts w:ascii="Arial" w:hAnsi="Arial" w:cs="Arial"/>
                <w:sz w:val="20"/>
                <w:szCs w:val="20"/>
              </w:rPr>
            </w:pPr>
            <w:r w:rsidRPr="00B5316D">
              <w:rPr>
                <w:rFonts w:ascii="Arial" w:hAnsi="Arial" w:cs="Arial"/>
                <w:sz w:val="20"/>
                <w:szCs w:val="20"/>
              </w:rPr>
              <w:t xml:space="preserve">11. The factors of organizational  behaviour regarding buying. </w:t>
            </w:r>
          </w:p>
          <w:p w:rsidR="00B5316D" w:rsidRPr="00B5316D" w:rsidRDefault="00B5316D" w:rsidP="00B5316D">
            <w:pPr>
              <w:rPr>
                <w:rFonts w:ascii="Arial" w:hAnsi="Arial" w:cs="Arial"/>
                <w:sz w:val="20"/>
                <w:szCs w:val="20"/>
              </w:rPr>
            </w:pPr>
            <w:r w:rsidRPr="00B5316D">
              <w:rPr>
                <w:rFonts w:ascii="Arial" w:hAnsi="Arial" w:cs="Arial"/>
                <w:sz w:val="20"/>
                <w:szCs w:val="20"/>
              </w:rPr>
              <w:t xml:space="preserve">12. The impact of macro -and micro environment of the organization; organizational factors of organizational behaviour regarding buying. </w:t>
            </w:r>
          </w:p>
          <w:p w:rsidR="00B5316D" w:rsidRPr="00B5316D" w:rsidRDefault="00B5316D" w:rsidP="00B5316D">
            <w:pPr>
              <w:rPr>
                <w:rFonts w:ascii="Arial" w:hAnsi="Arial" w:cs="Arial"/>
                <w:sz w:val="20"/>
                <w:szCs w:val="20"/>
              </w:rPr>
            </w:pPr>
            <w:r w:rsidRPr="00B5316D">
              <w:rPr>
                <w:rFonts w:ascii="Arial" w:hAnsi="Arial" w:cs="Arial"/>
                <w:sz w:val="20"/>
                <w:szCs w:val="20"/>
              </w:rPr>
              <w:t>13. Group and individual factors of organizational behaviour regarding buying.</w:t>
            </w:r>
          </w:p>
          <w:p w:rsidR="00B5316D" w:rsidRPr="00B5316D" w:rsidRDefault="00B5316D" w:rsidP="00B5316D">
            <w:pPr>
              <w:rPr>
                <w:rFonts w:ascii="Arial" w:hAnsi="Arial" w:cs="Arial"/>
                <w:sz w:val="20"/>
                <w:szCs w:val="20"/>
              </w:rPr>
            </w:pPr>
            <w:r w:rsidRPr="00B5316D">
              <w:rPr>
                <w:rFonts w:ascii="Arial" w:hAnsi="Arial" w:cs="Arial"/>
                <w:sz w:val="20"/>
                <w:szCs w:val="20"/>
              </w:rPr>
              <w:t>14. Decision-making process of organizations regarding buying.</w:t>
            </w:r>
          </w:p>
          <w:p w:rsidR="00B5316D" w:rsidRPr="00B5316D" w:rsidRDefault="00B5316D" w:rsidP="00B5316D">
            <w:pPr>
              <w:rPr>
                <w:rFonts w:ascii="Arial" w:hAnsi="Arial" w:cs="Arial"/>
                <w:sz w:val="20"/>
                <w:szCs w:val="20"/>
              </w:rPr>
            </w:pPr>
            <w:r w:rsidRPr="00B5316D">
              <w:rPr>
                <w:rFonts w:ascii="Arial" w:hAnsi="Arial" w:cs="Arial"/>
                <w:sz w:val="20"/>
                <w:szCs w:val="20"/>
              </w:rPr>
              <w:t>15. The models of organizational behaviour as customers.</w:t>
            </w:r>
          </w:p>
          <w:p w:rsidR="00B5316D" w:rsidRPr="00B5316D" w:rsidRDefault="00B5316D" w:rsidP="00B531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16D" w:rsidRPr="00B5316D" w:rsidTr="00B5316D">
        <w:tc>
          <w:tcPr>
            <w:tcW w:w="2235" w:type="dxa"/>
            <w:shd w:val="clear" w:color="auto" w:fill="C4BC96"/>
          </w:tcPr>
          <w:p w:rsidR="00B5316D" w:rsidRPr="00B5316D" w:rsidRDefault="00B5316D" w:rsidP="00B5316D">
            <w:pPr>
              <w:rPr>
                <w:rFonts w:ascii="Arial" w:hAnsi="Arial" w:cs="Arial"/>
                <w:sz w:val="20"/>
                <w:szCs w:val="20"/>
              </w:rPr>
            </w:pPr>
            <w:r w:rsidRPr="00B5316D">
              <w:rPr>
                <w:rFonts w:ascii="Arial" w:hAnsi="Arial" w:cs="Arial"/>
                <w:sz w:val="20"/>
                <w:szCs w:val="20"/>
              </w:rPr>
              <w:t>Learning outcomes</w:t>
            </w:r>
          </w:p>
        </w:tc>
        <w:tc>
          <w:tcPr>
            <w:tcW w:w="7053" w:type="dxa"/>
          </w:tcPr>
          <w:p w:rsidR="00B5316D" w:rsidRPr="00B5316D" w:rsidRDefault="00B5316D" w:rsidP="00B5316D">
            <w:pPr>
              <w:rPr>
                <w:rFonts w:ascii="Arial" w:hAnsi="Arial" w:cs="Arial"/>
                <w:sz w:val="20"/>
                <w:szCs w:val="20"/>
              </w:rPr>
            </w:pPr>
            <w:r w:rsidRPr="00B5316D">
              <w:rPr>
                <w:rFonts w:ascii="Arial" w:hAnsi="Arial" w:cs="Arial"/>
                <w:sz w:val="20"/>
                <w:szCs w:val="20"/>
              </w:rPr>
              <w:t>Gaining theoretical and practical knowledge in the field of consumer behaviour. By acquiring the above knowledge, students will be able to manage the marketing activities in organizations in the market.</w:t>
            </w:r>
          </w:p>
          <w:p w:rsidR="00B5316D" w:rsidRPr="00B5316D" w:rsidRDefault="00B5316D" w:rsidP="00B531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16D" w:rsidRPr="00B5316D" w:rsidTr="00B5316D">
        <w:tc>
          <w:tcPr>
            <w:tcW w:w="2235" w:type="dxa"/>
            <w:shd w:val="clear" w:color="auto" w:fill="C4BC96"/>
          </w:tcPr>
          <w:p w:rsidR="00B5316D" w:rsidRPr="00B5316D" w:rsidRDefault="00B5316D" w:rsidP="00B5316D">
            <w:pPr>
              <w:rPr>
                <w:rFonts w:ascii="Arial" w:hAnsi="Arial" w:cs="Arial"/>
                <w:sz w:val="20"/>
                <w:szCs w:val="20"/>
              </w:rPr>
            </w:pPr>
            <w:r w:rsidRPr="00B5316D">
              <w:rPr>
                <w:rFonts w:ascii="Arial" w:hAnsi="Arial" w:cs="Arial"/>
                <w:sz w:val="20"/>
                <w:szCs w:val="20"/>
              </w:rPr>
              <w:t>Length</w:t>
            </w:r>
          </w:p>
        </w:tc>
        <w:tc>
          <w:tcPr>
            <w:tcW w:w="7053" w:type="dxa"/>
          </w:tcPr>
          <w:p w:rsidR="00B5316D" w:rsidRPr="00B5316D" w:rsidRDefault="00B5316D" w:rsidP="00B5316D">
            <w:pPr>
              <w:rPr>
                <w:rFonts w:ascii="Arial" w:hAnsi="Arial" w:cs="Arial"/>
                <w:sz w:val="20"/>
                <w:szCs w:val="20"/>
              </w:rPr>
            </w:pPr>
            <w:r w:rsidRPr="00B5316D">
              <w:rPr>
                <w:rFonts w:ascii="Arial" w:hAnsi="Arial" w:cs="Arial"/>
                <w:sz w:val="20"/>
                <w:szCs w:val="20"/>
              </w:rPr>
              <w:t>One semester.</w:t>
            </w:r>
          </w:p>
          <w:p w:rsidR="00B5316D" w:rsidRPr="00B5316D" w:rsidRDefault="00B5316D" w:rsidP="00B531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16D" w:rsidRPr="00B5316D" w:rsidTr="00B5316D">
        <w:tc>
          <w:tcPr>
            <w:tcW w:w="2235" w:type="dxa"/>
            <w:shd w:val="clear" w:color="auto" w:fill="C4BC96"/>
          </w:tcPr>
          <w:p w:rsidR="00B5316D" w:rsidRPr="00B5316D" w:rsidRDefault="00B5316D" w:rsidP="00B5316D">
            <w:pPr>
              <w:rPr>
                <w:rFonts w:ascii="Arial" w:hAnsi="Arial" w:cs="Arial"/>
                <w:sz w:val="20"/>
                <w:szCs w:val="20"/>
              </w:rPr>
            </w:pPr>
            <w:r w:rsidRPr="00B5316D">
              <w:rPr>
                <w:rFonts w:ascii="Arial" w:hAnsi="Arial" w:cs="Arial"/>
                <w:sz w:val="20"/>
                <w:szCs w:val="20"/>
              </w:rPr>
              <w:t>General information</w:t>
            </w:r>
          </w:p>
        </w:tc>
        <w:tc>
          <w:tcPr>
            <w:tcW w:w="7053" w:type="dxa"/>
          </w:tcPr>
          <w:p w:rsidR="00B5316D" w:rsidRPr="00B5316D" w:rsidRDefault="00B5316D" w:rsidP="00B5316D">
            <w:pPr>
              <w:rPr>
                <w:rFonts w:ascii="Arial" w:hAnsi="Arial" w:cs="Arial"/>
                <w:sz w:val="20"/>
                <w:szCs w:val="20"/>
              </w:rPr>
            </w:pPr>
            <w:r w:rsidRPr="00B5316D">
              <w:rPr>
                <w:rFonts w:ascii="Arial" w:hAnsi="Arial" w:cs="Arial"/>
                <w:sz w:val="20"/>
                <w:szCs w:val="20"/>
              </w:rPr>
              <w:t>Understanding the factors, processes and behaviour patterns of end consumers and organizations as customers as the basis for defining the marketing strategy.</w:t>
            </w:r>
          </w:p>
          <w:p w:rsidR="00B5316D" w:rsidRPr="00B5316D" w:rsidRDefault="00B5316D" w:rsidP="00B531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16D" w:rsidRPr="00B5316D" w:rsidTr="00B5316D">
        <w:tc>
          <w:tcPr>
            <w:tcW w:w="2235" w:type="dxa"/>
            <w:shd w:val="clear" w:color="auto" w:fill="C4BC96"/>
          </w:tcPr>
          <w:p w:rsidR="00B5316D" w:rsidRPr="00B5316D" w:rsidRDefault="00B5316D" w:rsidP="00B5316D">
            <w:pPr>
              <w:rPr>
                <w:rFonts w:ascii="Arial" w:hAnsi="Arial" w:cs="Arial"/>
                <w:sz w:val="20"/>
                <w:szCs w:val="20"/>
              </w:rPr>
            </w:pPr>
            <w:r w:rsidRPr="00B5316D">
              <w:rPr>
                <w:rFonts w:ascii="Arial" w:hAnsi="Arial" w:cs="Arial"/>
                <w:sz w:val="20"/>
                <w:szCs w:val="20"/>
              </w:rPr>
              <w:t>Restrictions to mobile students and availability before the signature of the learning agreement</w:t>
            </w:r>
          </w:p>
          <w:p w:rsidR="00B5316D" w:rsidRPr="00B5316D" w:rsidRDefault="00B5316D" w:rsidP="00B53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:rsidR="00B5316D" w:rsidRPr="00B5316D" w:rsidRDefault="00B5316D" w:rsidP="00B5316D">
            <w:pPr>
              <w:rPr>
                <w:rFonts w:ascii="Arial" w:hAnsi="Arial" w:cs="Arial"/>
                <w:sz w:val="20"/>
                <w:szCs w:val="20"/>
              </w:rPr>
            </w:pPr>
            <w:r w:rsidRPr="00B5316D">
              <w:rPr>
                <w:rFonts w:ascii="Arial" w:hAnsi="Arial" w:cs="Arial"/>
                <w:sz w:val="20"/>
                <w:szCs w:val="20"/>
              </w:rPr>
              <w:t>There is no any restrictions.</w:t>
            </w:r>
          </w:p>
          <w:p w:rsidR="00B5316D" w:rsidRPr="00B5316D" w:rsidRDefault="00B5316D" w:rsidP="00B5316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316D" w:rsidRPr="00B5316D" w:rsidRDefault="00B5316D" w:rsidP="00B5316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316D" w:rsidRPr="00B5316D" w:rsidRDefault="00B5316D" w:rsidP="00B531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45CD" w:rsidRDefault="00FE45CD"/>
    <w:sectPr w:rsidR="00FE4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6D"/>
    <w:rsid w:val="00B5316D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075B2-689C-4B4F-AB31-9B1E9CC8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16D"/>
    <w:pPr>
      <w:spacing w:after="0" w:line="240" w:lineRule="auto"/>
    </w:pPr>
    <w:rPr>
      <w:rFonts w:eastAsia="Calibri"/>
      <w:lang w:val="sr-Latn-R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Markovic</dc:creator>
  <cp:keywords/>
  <dc:description/>
  <cp:lastModifiedBy>Brankica Markovic</cp:lastModifiedBy>
  <cp:revision>1</cp:revision>
  <dcterms:created xsi:type="dcterms:W3CDTF">2018-04-03T11:37:00Z</dcterms:created>
  <dcterms:modified xsi:type="dcterms:W3CDTF">2018-04-03T11:37:00Z</dcterms:modified>
</cp:coreProperties>
</file>