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235"/>
        <w:gridCol w:w="7053"/>
      </w:tblGrid>
      <w:tr w:rsidR="00EA3CC4" w:rsidRPr="00EA3CC4" w:rsidTr="00EA3CC4">
        <w:tc>
          <w:tcPr>
            <w:tcW w:w="2235" w:type="dxa"/>
            <w:shd w:val="clear" w:color="auto" w:fill="C4BC96"/>
          </w:tcPr>
          <w:p w:rsidR="00EA3CC4" w:rsidRPr="00EA3CC4" w:rsidRDefault="00EA3CC4" w:rsidP="00EA3CC4">
            <w:pPr>
              <w:rPr>
                <w:rFonts w:ascii="Arial" w:hAnsi="Arial" w:cs="Arial"/>
                <w:sz w:val="20"/>
                <w:szCs w:val="20"/>
              </w:rPr>
            </w:pPr>
            <w:r w:rsidRPr="00EA3CC4">
              <w:rPr>
                <w:rFonts w:ascii="Arial" w:hAnsi="Arial" w:cs="Arial"/>
                <w:sz w:val="20"/>
                <w:szCs w:val="20"/>
              </w:rPr>
              <w:t>Course title</w:t>
            </w:r>
          </w:p>
        </w:tc>
        <w:tc>
          <w:tcPr>
            <w:tcW w:w="7053" w:type="dxa"/>
          </w:tcPr>
          <w:p w:rsidR="00EA3CC4" w:rsidRPr="00EA3CC4" w:rsidRDefault="00EA3CC4" w:rsidP="00EA3CC4">
            <w:pPr>
              <w:rPr>
                <w:rFonts w:ascii="Arial" w:hAnsi="Arial" w:cs="Arial"/>
                <w:b/>
                <w:sz w:val="20"/>
                <w:szCs w:val="20"/>
                <w:u w:val="single"/>
              </w:rPr>
            </w:pPr>
            <w:bookmarkStart w:id="0" w:name="_GoBack"/>
            <w:r w:rsidRPr="00EA3CC4">
              <w:rPr>
                <w:rFonts w:ascii="Arial" w:hAnsi="Arial" w:cs="Arial"/>
                <w:b/>
                <w:sz w:val="20"/>
                <w:szCs w:val="20"/>
                <w:u w:val="single"/>
              </w:rPr>
              <w:t>Intelectual Property Law</w:t>
            </w:r>
          </w:p>
          <w:bookmarkEnd w:id="0"/>
          <w:p w:rsidR="00EA3CC4" w:rsidRPr="00EA3CC4" w:rsidRDefault="00EA3CC4" w:rsidP="00EA3CC4">
            <w:pPr>
              <w:rPr>
                <w:rFonts w:ascii="Arial" w:hAnsi="Arial" w:cs="Arial"/>
                <w:sz w:val="20"/>
                <w:szCs w:val="20"/>
              </w:rPr>
            </w:pPr>
          </w:p>
        </w:tc>
      </w:tr>
      <w:tr w:rsidR="00EA3CC4" w:rsidRPr="00EA3CC4" w:rsidTr="00EA3CC4">
        <w:tc>
          <w:tcPr>
            <w:tcW w:w="2235" w:type="dxa"/>
            <w:shd w:val="clear" w:color="auto" w:fill="C4BC96"/>
          </w:tcPr>
          <w:p w:rsidR="00EA3CC4" w:rsidRPr="00EA3CC4" w:rsidRDefault="00EA3CC4" w:rsidP="00EA3CC4">
            <w:pPr>
              <w:rPr>
                <w:rFonts w:ascii="Arial" w:hAnsi="Arial" w:cs="Arial"/>
                <w:sz w:val="20"/>
                <w:szCs w:val="20"/>
              </w:rPr>
            </w:pPr>
            <w:r w:rsidRPr="00EA3CC4">
              <w:rPr>
                <w:rFonts w:ascii="Arial" w:hAnsi="Arial" w:cs="Arial"/>
                <w:sz w:val="20"/>
                <w:szCs w:val="20"/>
              </w:rPr>
              <w:t>Semester</w:t>
            </w:r>
          </w:p>
          <w:p w:rsidR="00EA3CC4" w:rsidRPr="00EA3CC4" w:rsidRDefault="00EA3CC4" w:rsidP="00EA3CC4">
            <w:pPr>
              <w:rPr>
                <w:rFonts w:ascii="Arial" w:hAnsi="Arial" w:cs="Arial"/>
                <w:sz w:val="20"/>
                <w:szCs w:val="20"/>
              </w:rPr>
            </w:pPr>
          </w:p>
        </w:tc>
        <w:tc>
          <w:tcPr>
            <w:tcW w:w="7053" w:type="dxa"/>
          </w:tcPr>
          <w:p w:rsidR="00EA3CC4" w:rsidRPr="00EA3CC4" w:rsidRDefault="00EA3CC4" w:rsidP="00EA3CC4">
            <w:pPr>
              <w:rPr>
                <w:rFonts w:ascii="Arial" w:hAnsi="Arial" w:cs="Arial"/>
                <w:sz w:val="20"/>
                <w:szCs w:val="20"/>
                <w:lang w:val="da-DK"/>
              </w:rPr>
            </w:pPr>
            <w:r w:rsidRPr="00EA3CC4">
              <w:rPr>
                <w:rFonts w:ascii="Arial" w:hAnsi="Arial" w:cs="Arial"/>
                <w:sz w:val="20"/>
                <w:szCs w:val="20"/>
              </w:rPr>
              <w:t>Winter semester</w:t>
            </w:r>
          </w:p>
        </w:tc>
      </w:tr>
      <w:tr w:rsidR="00EA3CC4" w:rsidRPr="00EA3CC4" w:rsidTr="00EA3CC4">
        <w:tc>
          <w:tcPr>
            <w:tcW w:w="2235" w:type="dxa"/>
            <w:shd w:val="clear" w:color="auto" w:fill="C4BC96"/>
          </w:tcPr>
          <w:p w:rsidR="00EA3CC4" w:rsidRPr="00EA3CC4" w:rsidRDefault="00EA3CC4" w:rsidP="00EA3CC4">
            <w:pPr>
              <w:rPr>
                <w:rFonts w:ascii="Arial" w:hAnsi="Arial" w:cs="Arial"/>
                <w:sz w:val="20"/>
                <w:szCs w:val="20"/>
              </w:rPr>
            </w:pPr>
            <w:r w:rsidRPr="00EA3CC4">
              <w:rPr>
                <w:rFonts w:ascii="Arial" w:hAnsi="Arial" w:cs="Arial"/>
                <w:sz w:val="20"/>
                <w:szCs w:val="20"/>
              </w:rPr>
              <w:t>Faculty / Department</w:t>
            </w:r>
          </w:p>
        </w:tc>
        <w:tc>
          <w:tcPr>
            <w:tcW w:w="7053" w:type="dxa"/>
          </w:tcPr>
          <w:p w:rsidR="00EA3CC4" w:rsidRPr="00EA3CC4" w:rsidRDefault="00EA3CC4" w:rsidP="00EA3CC4">
            <w:pPr>
              <w:rPr>
                <w:rFonts w:ascii="Arial" w:hAnsi="Arial" w:cs="Arial"/>
                <w:sz w:val="20"/>
                <w:szCs w:val="20"/>
              </w:rPr>
            </w:pPr>
            <w:r w:rsidRPr="00EA3CC4">
              <w:rPr>
                <w:rFonts w:ascii="Arial" w:hAnsi="Arial" w:cs="Arial"/>
                <w:sz w:val="20"/>
                <w:szCs w:val="20"/>
              </w:rPr>
              <w:t>Faculty of Culture and Media</w:t>
            </w:r>
          </w:p>
          <w:p w:rsidR="00EA3CC4" w:rsidRPr="00EA3CC4" w:rsidRDefault="00EA3CC4" w:rsidP="00EA3CC4">
            <w:pPr>
              <w:rPr>
                <w:rFonts w:ascii="Arial" w:hAnsi="Arial" w:cs="Arial"/>
                <w:sz w:val="20"/>
                <w:szCs w:val="20"/>
              </w:rPr>
            </w:pPr>
          </w:p>
        </w:tc>
      </w:tr>
      <w:tr w:rsidR="00EA3CC4" w:rsidRPr="00EA3CC4" w:rsidTr="00EA3CC4">
        <w:tc>
          <w:tcPr>
            <w:tcW w:w="2235" w:type="dxa"/>
            <w:shd w:val="clear" w:color="auto" w:fill="C4BC96"/>
          </w:tcPr>
          <w:p w:rsidR="00EA3CC4" w:rsidRPr="00EA3CC4" w:rsidRDefault="00EA3CC4" w:rsidP="00EA3CC4">
            <w:pPr>
              <w:rPr>
                <w:rFonts w:ascii="Arial" w:hAnsi="Arial" w:cs="Arial"/>
                <w:sz w:val="20"/>
                <w:szCs w:val="20"/>
              </w:rPr>
            </w:pPr>
            <w:r w:rsidRPr="00EA3CC4">
              <w:rPr>
                <w:rFonts w:ascii="Arial" w:hAnsi="Arial" w:cs="Arial"/>
                <w:sz w:val="20"/>
                <w:szCs w:val="20"/>
              </w:rPr>
              <w:t>Professor</w:t>
            </w:r>
          </w:p>
        </w:tc>
        <w:tc>
          <w:tcPr>
            <w:tcW w:w="7053" w:type="dxa"/>
          </w:tcPr>
          <w:p w:rsidR="00EA3CC4" w:rsidRPr="00EA3CC4" w:rsidRDefault="00EA3CC4" w:rsidP="00EA3CC4">
            <w:pPr>
              <w:rPr>
                <w:rFonts w:ascii="Arial" w:hAnsi="Arial" w:cs="Arial"/>
                <w:sz w:val="20"/>
                <w:szCs w:val="20"/>
              </w:rPr>
            </w:pPr>
            <w:r w:rsidRPr="00EA3CC4">
              <w:rPr>
                <w:rFonts w:ascii="Arial" w:hAnsi="Arial" w:cs="Arial"/>
                <w:sz w:val="20"/>
                <w:szCs w:val="20"/>
              </w:rPr>
              <w:t>Professor Vesna Baltazarević, PhD</w:t>
            </w:r>
          </w:p>
          <w:tbl>
            <w:tblPr>
              <w:tblW w:w="0" w:type="auto"/>
              <w:tblBorders>
                <w:top w:val="nil"/>
                <w:left w:val="nil"/>
                <w:bottom w:val="nil"/>
                <w:right w:val="nil"/>
              </w:tblBorders>
              <w:tblLook w:val="0000" w:firstRow="0" w:lastRow="0" w:firstColumn="0" w:lastColumn="0" w:noHBand="0" w:noVBand="0"/>
            </w:tblPr>
            <w:tblGrid>
              <w:gridCol w:w="3352"/>
            </w:tblGrid>
            <w:tr w:rsidR="00EA3CC4" w:rsidRPr="00EA3CC4" w:rsidTr="00110618">
              <w:trPr>
                <w:trHeight w:val="103"/>
              </w:trPr>
              <w:tc>
                <w:tcPr>
                  <w:tcW w:w="3352" w:type="dxa"/>
                </w:tcPr>
                <w:p w:rsidR="00EA3CC4" w:rsidRPr="00EA3CC4" w:rsidRDefault="00EA3CC4" w:rsidP="00EA3CC4">
                  <w:pPr>
                    <w:spacing w:after="0" w:line="240" w:lineRule="auto"/>
                    <w:rPr>
                      <w:rFonts w:ascii="Arial" w:eastAsia="Calibri" w:hAnsi="Arial" w:cs="Arial"/>
                      <w:sz w:val="20"/>
                      <w:szCs w:val="20"/>
                      <w:lang w:eastAsia="en-US"/>
                    </w:rPr>
                  </w:pPr>
                  <w:r w:rsidRPr="00EA3CC4">
                    <w:rPr>
                      <w:rFonts w:ascii="Arial" w:eastAsia="Calibri" w:hAnsi="Arial" w:cs="Arial"/>
                      <w:sz w:val="20"/>
                      <w:szCs w:val="20"/>
                      <w:lang w:eastAsia="en-US"/>
                    </w:rPr>
                    <w:t xml:space="preserve"> </w:t>
                  </w:r>
                </w:p>
              </w:tc>
            </w:tr>
          </w:tbl>
          <w:p w:rsidR="00EA3CC4" w:rsidRPr="00EA3CC4" w:rsidRDefault="00EA3CC4" w:rsidP="00EA3CC4">
            <w:pPr>
              <w:rPr>
                <w:rFonts w:ascii="Arial" w:hAnsi="Arial" w:cs="Arial"/>
                <w:sz w:val="20"/>
                <w:szCs w:val="20"/>
              </w:rPr>
            </w:pPr>
          </w:p>
        </w:tc>
      </w:tr>
      <w:tr w:rsidR="00EA3CC4" w:rsidRPr="00EA3CC4" w:rsidTr="00EA3CC4">
        <w:tc>
          <w:tcPr>
            <w:tcW w:w="2235" w:type="dxa"/>
            <w:shd w:val="clear" w:color="auto" w:fill="C4BC96"/>
          </w:tcPr>
          <w:p w:rsidR="00EA3CC4" w:rsidRPr="00EA3CC4" w:rsidRDefault="00EA3CC4" w:rsidP="00EA3CC4">
            <w:pPr>
              <w:rPr>
                <w:rFonts w:ascii="Arial" w:hAnsi="Arial" w:cs="Arial"/>
                <w:sz w:val="20"/>
                <w:szCs w:val="20"/>
              </w:rPr>
            </w:pPr>
            <w:r w:rsidRPr="00EA3CC4">
              <w:rPr>
                <w:rFonts w:ascii="Arial" w:hAnsi="Arial" w:cs="Arial"/>
                <w:sz w:val="20"/>
                <w:szCs w:val="20"/>
              </w:rPr>
              <w:t>ECTS credits</w:t>
            </w:r>
          </w:p>
        </w:tc>
        <w:tc>
          <w:tcPr>
            <w:tcW w:w="7053" w:type="dxa"/>
          </w:tcPr>
          <w:p w:rsidR="00EA3CC4" w:rsidRPr="00EA3CC4" w:rsidRDefault="00EA3CC4" w:rsidP="00EA3CC4">
            <w:pPr>
              <w:rPr>
                <w:rFonts w:ascii="Arial" w:hAnsi="Arial" w:cs="Arial"/>
                <w:sz w:val="20"/>
                <w:szCs w:val="20"/>
              </w:rPr>
            </w:pPr>
            <w:r w:rsidRPr="00EA3CC4">
              <w:rPr>
                <w:rFonts w:ascii="Arial" w:hAnsi="Arial" w:cs="Arial"/>
                <w:sz w:val="20"/>
                <w:szCs w:val="20"/>
              </w:rPr>
              <w:t>7</w:t>
            </w:r>
          </w:p>
          <w:p w:rsidR="00EA3CC4" w:rsidRPr="00EA3CC4" w:rsidRDefault="00EA3CC4" w:rsidP="00EA3CC4">
            <w:pPr>
              <w:rPr>
                <w:rFonts w:ascii="Arial" w:hAnsi="Arial" w:cs="Arial"/>
                <w:sz w:val="20"/>
                <w:szCs w:val="20"/>
              </w:rPr>
            </w:pPr>
          </w:p>
        </w:tc>
      </w:tr>
      <w:tr w:rsidR="00EA3CC4" w:rsidRPr="00EA3CC4" w:rsidTr="00EA3CC4">
        <w:tc>
          <w:tcPr>
            <w:tcW w:w="2235" w:type="dxa"/>
            <w:shd w:val="clear" w:color="auto" w:fill="C4BC96"/>
          </w:tcPr>
          <w:p w:rsidR="00EA3CC4" w:rsidRPr="00EA3CC4" w:rsidRDefault="00EA3CC4" w:rsidP="00EA3CC4">
            <w:pPr>
              <w:rPr>
                <w:rFonts w:ascii="Arial" w:hAnsi="Arial" w:cs="Arial"/>
                <w:sz w:val="20"/>
                <w:szCs w:val="20"/>
              </w:rPr>
            </w:pPr>
            <w:r w:rsidRPr="00EA3CC4">
              <w:rPr>
                <w:rFonts w:ascii="Arial" w:hAnsi="Arial" w:cs="Arial"/>
                <w:sz w:val="20"/>
                <w:szCs w:val="20"/>
              </w:rPr>
              <w:t>Language of instruction</w:t>
            </w:r>
          </w:p>
        </w:tc>
        <w:tc>
          <w:tcPr>
            <w:tcW w:w="7053" w:type="dxa"/>
          </w:tcPr>
          <w:p w:rsidR="00EA3CC4" w:rsidRPr="00EA3CC4" w:rsidRDefault="00EA3CC4" w:rsidP="00EA3CC4">
            <w:pPr>
              <w:rPr>
                <w:rFonts w:ascii="Arial" w:hAnsi="Arial" w:cs="Arial"/>
                <w:sz w:val="20"/>
                <w:szCs w:val="20"/>
              </w:rPr>
            </w:pPr>
            <w:r w:rsidRPr="00EA3CC4">
              <w:rPr>
                <w:rFonts w:ascii="Arial" w:hAnsi="Arial" w:cs="Arial"/>
                <w:sz w:val="20"/>
                <w:szCs w:val="20"/>
              </w:rPr>
              <w:t>English</w:t>
            </w:r>
          </w:p>
        </w:tc>
      </w:tr>
      <w:tr w:rsidR="00EA3CC4" w:rsidRPr="00EA3CC4" w:rsidTr="00EA3CC4">
        <w:tc>
          <w:tcPr>
            <w:tcW w:w="2235" w:type="dxa"/>
            <w:shd w:val="clear" w:color="auto" w:fill="C4BC96"/>
          </w:tcPr>
          <w:p w:rsidR="00EA3CC4" w:rsidRPr="00EA3CC4" w:rsidRDefault="00EA3CC4" w:rsidP="00EA3CC4">
            <w:pPr>
              <w:rPr>
                <w:rFonts w:ascii="Arial" w:hAnsi="Arial" w:cs="Arial"/>
                <w:sz w:val="20"/>
                <w:szCs w:val="20"/>
              </w:rPr>
            </w:pPr>
            <w:r w:rsidRPr="00EA3CC4">
              <w:rPr>
                <w:rFonts w:ascii="Arial" w:hAnsi="Arial" w:cs="Arial"/>
                <w:sz w:val="20"/>
                <w:szCs w:val="20"/>
              </w:rPr>
              <w:t>Level of study</w:t>
            </w:r>
          </w:p>
        </w:tc>
        <w:tc>
          <w:tcPr>
            <w:tcW w:w="7053" w:type="dxa"/>
          </w:tcPr>
          <w:p w:rsidR="00EA3CC4" w:rsidRPr="00EA3CC4" w:rsidRDefault="00EA3CC4" w:rsidP="00EA3CC4">
            <w:pPr>
              <w:rPr>
                <w:rFonts w:ascii="Arial" w:hAnsi="Arial" w:cs="Arial"/>
                <w:sz w:val="20"/>
                <w:szCs w:val="20"/>
              </w:rPr>
            </w:pPr>
            <w:r w:rsidRPr="00EA3CC4">
              <w:rPr>
                <w:rFonts w:ascii="Arial" w:hAnsi="Arial" w:cs="Arial"/>
                <w:sz w:val="20"/>
                <w:szCs w:val="20"/>
              </w:rPr>
              <w:t>Bachelor</w:t>
            </w:r>
          </w:p>
          <w:p w:rsidR="00EA3CC4" w:rsidRPr="00EA3CC4" w:rsidRDefault="00EA3CC4" w:rsidP="00EA3CC4">
            <w:pPr>
              <w:rPr>
                <w:rFonts w:ascii="Arial" w:hAnsi="Arial" w:cs="Arial"/>
                <w:sz w:val="20"/>
                <w:szCs w:val="20"/>
              </w:rPr>
            </w:pPr>
          </w:p>
        </w:tc>
      </w:tr>
      <w:tr w:rsidR="00EA3CC4" w:rsidRPr="00EA3CC4" w:rsidTr="00EA3CC4">
        <w:tc>
          <w:tcPr>
            <w:tcW w:w="2235" w:type="dxa"/>
            <w:shd w:val="clear" w:color="auto" w:fill="C4BC96"/>
          </w:tcPr>
          <w:p w:rsidR="00EA3CC4" w:rsidRPr="00EA3CC4" w:rsidRDefault="00EA3CC4" w:rsidP="00EA3CC4">
            <w:pPr>
              <w:rPr>
                <w:rFonts w:ascii="Arial" w:hAnsi="Arial" w:cs="Arial"/>
                <w:sz w:val="20"/>
                <w:szCs w:val="20"/>
              </w:rPr>
            </w:pPr>
            <w:r w:rsidRPr="00EA3CC4">
              <w:rPr>
                <w:rFonts w:ascii="Arial" w:hAnsi="Arial" w:cs="Arial"/>
                <w:sz w:val="20"/>
                <w:szCs w:val="20"/>
              </w:rPr>
              <w:t>Content</w:t>
            </w:r>
          </w:p>
        </w:tc>
        <w:tc>
          <w:tcPr>
            <w:tcW w:w="7053" w:type="dxa"/>
          </w:tcPr>
          <w:p w:rsidR="00EA3CC4" w:rsidRPr="00EA3CC4" w:rsidRDefault="00EA3CC4" w:rsidP="00EA3CC4">
            <w:pPr>
              <w:rPr>
                <w:rFonts w:ascii="Arial" w:hAnsi="Arial" w:cs="Arial"/>
                <w:sz w:val="20"/>
                <w:szCs w:val="20"/>
              </w:rPr>
            </w:pPr>
            <w:r w:rsidRPr="00EA3CC4">
              <w:rPr>
                <w:rFonts w:ascii="Arial" w:hAnsi="Arial" w:cs="Arial"/>
                <w:sz w:val="20"/>
                <w:szCs w:val="20"/>
              </w:rPr>
              <w:t>P-01 Intellectual property law: concept, development rights P-02 A free market, competition</w:t>
            </w:r>
          </w:p>
          <w:p w:rsidR="00EA3CC4" w:rsidRPr="00EA3CC4" w:rsidRDefault="00EA3CC4" w:rsidP="00EA3CC4">
            <w:pPr>
              <w:rPr>
                <w:rFonts w:ascii="Arial" w:hAnsi="Arial" w:cs="Arial"/>
                <w:sz w:val="20"/>
                <w:szCs w:val="20"/>
              </w:rPr>
            </w:pPr>
            <w:r w:rsidRPr="00EA3CC4">
              <w:rPr>
                <w:rFonts w:ascii="Arial" w:hAnsi="Arial" w:cs="Arial"/>
                <w:sz w:val="20"/>
                <w:szCs w:val="20"/>
              </w:rPr>
              <w:t xml:space="preserve">P-03 Copyright: concept and development  P-04 The moral and economic rights. </w:t>
            </w:r>
          </w:p>
          <w:p w:rsidR="00EA3CC4" w:rsidRPr="00EA3CC4" w:rsidRDefault="00EA3CC4" w:rsidP="00EA3CC4">
            <w:pPr>
              <w:rPr>
                <w:rFonts w:ascii="Arial" w:hAnsi="Arial" w:cs="Arial"/>
                <w:sz w:val="20"/>
                <w:szCs w:val="20"/>
              </w:rPr>
            </w:pPr>
            <w:r w:rsidRPr="00EA3CC4">
              <w:rPr>
                <w:rFonts w:ascii="Arial" w:hAnsi="Arial" w:cs="Arial"/>
                <w:sz w:val="20"/>
                <w:szCs w:val="20"/>
              </w:rPr>
              <w:t>P-05 Authors and coauthors. Publishing contracts. P-06 Copyright and Copyleft. Inheritance of Copyright P-07 Theatrical, film and music work P-08 Fine and Applied Arts</w:t>
            </w:r>
          </w:p>
          <w:p w:rsidR="00EA3CC4" w:rsidRPr="00EA3CC4" w:rsidRDefault="00EA3CC4" w:rsidP="00EA3CC4">
            <w:pPr>
              <w:rPr>
                <w:rFonts w:ascii="Arial" w:hAnsi="Arial" w:cs="Arial"/>
                <w:sz w:val="20"/>
                <w:szCs w:val="20"/>
              </w:rPr>
            </w:pPr>
            <w:r w:rsidRPr="00EA3CC4">
              <w:rPr>
                <w:rFonts w:ascii="Arial" w:hAnsi="Arial" w:cs="Arial"/>
                <w:sz w:val="20"/>
                <w:szCs w:val="20"/>
              </w:rPr>
              <w:t>P-09 Computer program P-10 Rights related to copyright. P-11 Industrial property rights. patent Law</w:t>
            </w:r>
          </w:p>
          <w:p w:rsidR="00EA3CC4" w:rsidRPr="00EA3CC4" w:rsidRDefault="00EA3CC4" w:rsidP="00EA3CC4">
            <w:pPr>
              <w:rPr>
                <w:rFonts w:ascii="Arial" w:hAnsi="Arial" w:cs="Arial"/>
                <w:sz w:val="20"/>
                <w:szCs w:val="20"/>
              </w:rPr>
            </w:pPr>
            <w:r w:rsidRPr="00EA3CC4">
              <w:rPr>
                <w:rFonts w:ascii="Arial" w:hAnsi="Arial" w:cs="Arial"/>
                <w:sz w:val="20"/>
                <w:szCs w:val="20"/>
              </w:rPr>
              <w:t>P-12 The findings made in the course of employment P-13 Knowledge Management and Knowledge</w:t>
            </w:r>
          </w:p>
          <w:p w:rsidR="00EA3CC4" w:rsidRPr="00EA3CC4" w:rsidRDefault="00EA3CC4" w:rsidP="00EA3CC4">
            <w:pPr>
              <w:rPr>
                <w:rFonts w:ascii="Arial" w:hAnsi="Arial" w:cs="Arial"/>
                <w:sz w:val="20"/>
                <w:szCs w:val="20"/>
              </w:rPr>
            </w:pPr>
            <w:r w:rsidRPr="00EA3CC4">
              <w:rPr>
                <w:rFonts w:ascii="Arial" w:hAnsi="Arial" w:cs="Arial"/>
                <w:sz w:val="20"/>
                <w:szCs w:val="20"/>
              </w:rPr>
              <w:t>P-14 Other rights related to patent law P-15 International regulation of intellectual property rights. World Trade Organization. TRIPS Agreement.</w:t>
            </w:r>
          </w:p>
          <w:p w:rsidR="00EA3CC4" w:rsidRPr="00EA3CC4" w:rsidRDefault="00EA3CC4" w:rsidP="00EA3CC4">
            <w:pPr>
              <w:rPr>
                <w:rFonts w:ascii="Arial" w:hAnsi="Arial" w:cs="Arial"/>
                <w:sz w:val="20"/>
                <w:szCs w:val="20"/>
              </w:rPr>
            </w:pPr>
          </w:p>
        </w:tc>
      </w:tr>
      <w:tr w:rsidR="00EA3CC4" w:rsidRPr="00EA3CC4" w:rsidTr="00EA3CC4">
        <w:tc>
          <w:tcPr>
            <w:tcW w:w="2235" w:type="dxa"/>
            <w:shd w:val="clear" w:color="auto" w:fill="C4BC96"/>
          </w:tcPr>
          <w:p w:rsidR="00EA3CC4" w:rsidRPr="00EA3CC4" w:rsidRDefault="00EA3CC4" w:rsidP="00EA3CC4">
            <w:pPr>
              <w:rPr>
                <w:rFonts w:ascii="Arial" w:hAnsi="Arial" w:cs="Arial"/>
                <w:sz w:val="20"/>
                <w:szCs w:val="20"/>
              </w:rPr>
            </w:pPr>
            <w:r w:rsidRPr="00EA3CC4">
              <w:rPr>
                <w:rFonts w:ascii="Arial" w:hAnsi="Arial" w:cs="Arial"/>
                <w:sz w:val="20"/>
                <w:szCs w:val="20"/>
              </w:rPr>
              <w:t>Learning outcomes</w:t>
            </w:r>
          </w:p>
        </w:tc>
        <w:tc>
          <w:tcPr>
            <w:tcW w:w="7053" w:type="dxa"/>
          </w:tcPr>
          <w:p w:rsidR="00EA3CC4" w:rsidRPr="00EA3CC4" w:rsidRDefault="00EA3CC4" w:rsidP="00EA3CC4">
            <w:pPr>
              <w:rPr>
                <w:rFonts w:ascii="Arial" w:hAnsi="Arial" w:cs="Arial"/>
                <w:sz w:val="20"/>
                <w:szCs w:val="20"/>
              </w:rPr>
            </w:pPr>
            <w:r w:rsidRPr="00EA3CC4">
              <w:rPr>
                <w:rFonts w:ascii="Arial" w:hAnsi="Arial" w:cs="Arial"/>
                <w:sz w:val="20"/>
                <w:szCs w:val="20"/>
              </w:rPr>
              <w:t>By insisting on an interactive analysis of the problems, students need to acquire the knowledge they need in the field of copyright and intellectual property. Protection of intellectual property, trough a sistem of national and international rules, which are called intellectual property rights, is necessary for the acquision and financing of inovation and creativity, which in turn lead to economic, cultural and social progress.</w:t>
            </w:r>
          </w:p>
          <w:p w:rsidR="00EA3CC4" w:rsidRPr="00EA3CC4" w:rsidRDefault="00EA3CC4" w:rsidP="00EA3CC4">
            <w:pPr>
              <w:rPr>
                <w:rFonts w:ascii="Arial" w:hAnsi="Arial" w:cs="Arial"/>
                <w:sz w:val="20"/>
                <w:szCs w:val="20"/>
              </w:rPr>
            </w:pPr>
          </w:p>
        </w:tc>
      </w:tr>
      <w:tr w:rsidR="00EA3CC4" w:rsidRPr="00EA3CC4" w:rsidTr="00EA3CC4">
        <w:tc>
          <w:tcPr>
            <w:tcW w:w="2235" w:type="dxa"/>
            <w:shd w:val="clear" w:color="auto" w:fill="C4BC96"/>
          </w:tcPr>
          <w:p w:rsidR="00EA3CC4" w:rsidRPr="00EA3CC4" w:rsidRDefault="00EA3CC4" w:rsidP="00EA3CC4">
            <w:pPr>
              <w:rPr>
                <w:rFonts w:ascii="Arial" w:hAnsi="Arial" w:cs="Arial"/>
                <w:sz w:val="20"/>
                <w:szCs w:val="20"/>
              </w:rPr>
            </w:pPr>
            <w:r w:rsidRPr="00EA3CC4">
              <w:rPr>
                <w:rFonts w:ascii="Arial" w:hAnsi="Arial" w:cs="Arial"/>
                <w:sz w:val="20"/>
                <w:szCs w:val="20"/>
              </w:rPr>
              <w:t>Length</w:t>
            </w:r>
          </w:p>
        </w:tc>
        <w:tc>
          <w:tcPr>
            <w:tcW w:w="7053" w:type="dxa"/>
          </w:tcPr>
          <w:p w:rsidR="00EA3CC4" w:rsidRPr="00EA3CC4" w:rsidRDefault="00EA3CC4" w:rsidP="00EA3CC4">
            <w:pPr>
              <w:rPr>
                <w:rFonts w:ascii="Arial" w:hAnsi="Arial" w:cs="Arial"/>
                <w:sz w:val="20"/>
                <w:szCs w:val="20"/>
              </w:rPr>
            </w:pPr>
            <w:r w:rsidRPr="00EA3CC4">
              <w:rPr>
                <w:rFonts w:ascii="Arial" w:hAnsi="Arial" w:cs="Arial"/>
                <w:sz w:val="20"/>
                <w:szCs w:val="20"/>
              </w:rPr>
              <w:t>One semester.</w:t>
            </w:r>
          </w:p>
          <w:p w:rsidR="00EA3CC4" w:rsidRPr="00EA3CC4" w:rsidRDefault="00EA3CC4" w:rsidP="00EA3CC4">
            <w:pPr>
              <w:rPr>
                <w:rFonts w:ascii="Arial" w:hAnsi="Arial" w:cs="Arial"/>
                <w:sz w:val="20"/>
                <w:szCs w:val="20"/>
              </w:rPr>
            </w:pPr>
          </w:p>
        </w:tc>
      </w:tr>
      <w:tr w:rsidR="00EA3CC4" w:rsidRPr="00EA3CC4" w:rsidTr="00EA3CC4">
        <w:tc>
          <w:tcPr>
            <w:tcW w:w="2235" w:type="dxa"/>
            <w:shd w:val="clear" w:color="auto" w:fill="C4BC96"/>
          </w:tcPr>
          <w:p w:rsidR="00EA3CC4" w:rsidRPr="00EA3CC4" w:rsidRDefault="00EA3CC4" w:rsidP="00EA3CC4">
            <w:pPr>
              <w:rPr>
                <w:rFonts w:ascii="Arial" w:hAnsi="Arial" w:cs="Arial"/>
                <w:sz w:val="20"/>
                <w:szCs w:val="20"/>
              </w:rPr>
            </w:pPr>
            <w:r w:rsidRPr="00EA3CC4">
              <w:rPr>
                <w:rFonts w:ascii="Arial" w:hAnsi="Arial" w:cs="Arial"/>
                <w:sz w:val="20"/>
                <w:szCs w:val="20"/>
              </w:rPr>
              <w:t>General information</w:t>
            </w:r>
          </w:p>
        </w:tc>
        <w:tc>
          <w:tcPr>
            <w:tcW w:w="7053" w:type="dxa"/>
          </w:tcPr>
          <w:p w:rsidR="00EA3CC4" w:rsidRPr="00EA3CC4" w:rsidRDefault="00EA3CC4" w:rsidP="00EA3CC4">
            <w:pPr>
              <w:rPr>
                <w:rFonts w:ascii="Arial" w:hAnsi="Arial" w:cs="Arial"/>
                <w:sz w:val="20"/>
                <w:szCs w:val="20"/>
              </w:rPr>
            </w:pPr>
            <w:r w:rsidRPr="00EA3CC4">
              <w:rPr>
                <w:rFonts w:ascii="Arial" w:hAnsi="Arial" w:cs="Arial"/>
                <w:sz w:val="20"/>
                <w:szCs w:val="20"/>
              </w:rPr>
              <w:t>This teaching discipline aims to introduce students to current issues in the field of copyright and intellectual property rights. Students should become familiar with the matter through its Historically development and understand the importance of human invention and necessity for their protection.</w:t>
            </w:r>
          </w:p>
          <w:p w:rsidR="00EA3CC4" w:rsidRPr="00EA3CC4" w:rsidRDefault="00EA3CC4" w:rsidP="00EA3CC4">
            <w:pPr>
              <w:rPr>
                <w:rFonts w:ascii="Arial" w:hAnsi="Arial" w:cs="Arial"/>
                <w:sz w:val="20"/>
                <w:szCs w:val="20"/>
              </w:rPr>
            </w:pPr>
          </w:p>
        </w:tc>
      </w:tr>
      <w:tr w:rsidR="00EA3CC4" w:rsidRPr="00EA3CC4" w:rsidTr="00EA3CC4">
        <w:tc>
          <w:tcPr>
            <w:tcW w:w="2235" w:type="dxa"/>
            <w:shd w:val="clear" w:color="auto" w:fill="C4BC96"/>
          </w:tcPr>
          <w:p w:rsidR="00EA3CC4" w:rsidRPr="00EA3CC4" w:rsidRDefault="00EA3CC4" w:rsidP="00EA3CC4">
            <w:pPr>
              <w:rPr>
                <w:rFonts w:ascii="Arial" w:hAnsi="Arial" w:cs="Arial"/>
                <w:sz w:val="20"/>
                <w:szCs w:val="20"/>
              </w:rPr>
            </w:pPr>
            <w:r w:rsidRPr="00EA3CC4">
              <w:rPr>
                <w:rFonts w:ascii="Arial" w:hAnsi="Arial" w:cs="Arial"/>
                <w:sz w:val="20"/>
                <w:szCs w:val="20"/>
              </w:rPr>
              <w:t>Restrictions to mobile students and availability before the signature of the learning agreement</w:t>
            </w:r>
          </w:p>
        </w:tc>
        <w:tc>
          <w:tcPr>
            <w:tcW w:w="7053" w:type="dxa"/>
          </w:tcPr>
          <w:p w:rsidR="00EA3CC4" w:rsidRPr="00EA3CC4" w:rsidRDefault="00EA3CC4" w:rsidP="00EA3CC4">
            <w:pPr>
              <w:rPr>
                <w:rFonts w:ascii="Arial" w:hAnsi="Arial" w:cs="Arial"/>
                <w:sz w:val="20"/>
                <w:szCs w:val="20"/>
              </w:rPr>
            </w:pPr>
            <w:r w:rsidRPr="00EA3CC4">
              <w:rPr>
                <w:rFonts w:ascii="Arial" w:hAnsi="Arial" w:cs="Arial"/>
                <w:sz w:val="20"/>
                <w:szCs w:val="20"/>
              </w:rPr>
              <w:t>There is no any restrictions.</w:t>
            </w:r>
          </w:p>
          <w:p w:rsidR="00EA3CC4" w:rsidRPr="00EA3CC4" w:rsidRDefault="00EA3CC4" w:rsidP="00EA3CC4">
            <w:pPr>
              <w:rPr>
                <w:rFonts w:ascii="Arial" w:hAnsi="Arial" w:cs="Arial"/>
                <w:sz w:val="20"/>
                <w:szCs w:val="20"/>
              </w:rPr>
            </w:pPr>
          </w:p>
          <w:p w:rsidR="00EA3CC4" w:rsidRPr="00EA3CC4" w:rsidRDefault="00EA3CC4" w:rsidP="00EA3CC4">
            <w:pPr>
              <w:rPr>
                <w:rFonts w:ascii="Arial" w:hAnsi="Arial" w:cs="Arial"/>
                <w:sz w:val="20"/>
                <w:szCs w:val="20"/>
              </w:rPr>
            </w:pPr>
          </w:p>
          <w:p w:rsidR="00EA3CC4" w:rsidRPr="00EA3CC4" w:rsidRDefault="00EA3CC4" w:rsidP="00EA3CC4">
            <w:pPr>
              <w:rPr>
                <w:rFonts w:ascii="Arial" w:hAnsi="Arial" w:cs="Arial"/>
                <w:sz w:val="20"/>
                <w:szCs w:val="20"/>
              </w:rPr>
            </w:pPr>
          </w:p>
          <w:p w:rsidR="00EA3CC4" w:rsidRPr="00EA3CC4" w:rsidRDefault="00EA3CC4" w:rsidP="00EA3CC4">
            <w:pPr>
              <w:rPr>
                <w:rFonts w:ascii="Arial" w:hAnsi="Arial" w:cs="Arial"/>
                <w:sz w:val="20"/>
                <w:szCs w:val="20"/>
              </w:rPr>
            </w:pPr>
          </w:p>
          <w:p w:rsidR="00EA3CC4" w:rsidRPr="00EA3CC4" w:rsidRDefault="00EA3CC4" w:rsidP="00EA3CC4">
            <w:pPr>
              <w:rPr>
                <w:rFonts w:ascii="Arial" w:hAnsi="Arial" w:cs="Arial"/>
                <w:sz w:val="20"/>
                <w:szCs w:val="20"/>
              </w:rPr>
            </w:pPr>
          </w:p>
        </w:tc>
      </w:tr>
    </w:tbl>
    <w:p w:rsidR="00FE45CD" w:rsidRDefault="00FE45CD"/>
    <w:sectPr w:rsidR="00FE4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C4"/>
    <w:rsid w:val="00EA3CC4"/>
    <w:rsid w:val="00FE4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C7E13-D6C1-420F-84B7-18F7CF74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3CC4"/>
    <w:pPr>
      <w:spacing w:after="0" w:line="240" w:lineRule="auto"/>
    </w:pPr>
    <w:rPr>
      <w:rFonts w:eastAsia="Calibri"/>
      <w:lang w:val="sr-Latn-R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Brankica Markovic</dc:creator>
  <cp:keywords/>
  <dc:description/>
  <cp:lastModifiedBy>Brankica Markovic</cp:lastModifiedBy>
  <cp:revision>1</cp:revision>
  <dcterms:created xsi:type="dcterms:W3CDTF">2018-04-03T11:24:00Z</dcterms:created>
  <dcterms:modified xsi:type="dcterms:W3CDTF">2018-04-03T11:24:00Z</dcterms:modified>
</cp:coreProperties>
</file>