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05"/>
        <w:gridCol w:w="6857"/>
      </w:tblGrid>
      <w:tr w:rsidR="00651702" w:rsidRPr="00651702" w:rsidTr="00651702">
        <w:tc>
          <w:tcPr>
            <w:tcW w:w="2205" w:type="dxa"/>
            <w:shd w:val="clear" w:color="auto" w:fill="C4BC96"/>
          </w:tcPr>
          <w:p w:rsidR="00651702" w:rsidRPr="00651702" w:rsidRDefault="00651702" w:rsidP="00651702">
            <w:pPr>
              <w:rPr>
                <w:rFonts w:ascii="Arial" w:hAnsi="Arial" w:cs="Arial"/>
                <w:sz w:val="20"/>
                <w:szCs w:val="20"/>
              </w:rPr>
            </w:pPr>
            <w:r w:rsidRPr="00651702">
              <w:rPr>
                <w:rFonts w:ascii="Arial" w:hAnsi="Arial" w:cs="Arial"/>
                <w:sz w:val="20"/>
                <w:szCs w:val="20"/>
              </w:rPr>
              <w:t>Course title</w:t>
            </w:r>
          </w:p>
        </w:tc>
        <w:tc>
          <w:tcPr>
            <w:tcW w:w="6857" w:type="dxa"/>
          </w:tcPr>
          <w:p w:rsidR="00651702" w:rsidRPr="00651702" w:rsidRDefault="00651702" w:rsidP="00651702">
            <w:pPr>
              <w:rPr>
                <w:rFonts w:ascii="Arial" w:eastAsia="Times New Roman" w:hAnsi="Arial" w:cs="Arial"/>
                <w:b/>
                <w:sz w:val="20"/>
                <w:szCs w:val="20"/>
                <w:u w:val="single"/>
              </w:rPr>
            </w:pPr>
            <w:bookmarkStart w:id="0" w:name="_GoBack"/>
            <w:r w:rsidRPr="00651702">
              <w:rPr>
                <w:rFonts w:ascii="Arial" w:eastAsia="Times New Roman" w:hAnsi="Arial" w:cs="Arial"/>
                <w:b/>
                <w:sz w:val="20"/>
                <w:szCs w:val="20"/>
                <w:u w:val="single"/>
              </w:rPr>
              <w:t>International Business Law</w:t>
            </w:r>
          </w:p>
          <w:bookmarkEnd w:id="0"/>
          <w:p w:rsidR="00651702" w:rsidRPr="00651702" w:rsidRDefault="00651702" w:rsidP="00651702">
            <w:pPr>
              <w:rPr>
                <w:rFonts w:ascii="Arial" w:hAnsi="Arial" w:cs="Arial"/>
                <w:sz w:val="20"/>
                <w:szCs w:val="20"/>
              </w:rPr>
            </w:pPr>
          </w:p>
        </w:tc>
      </w:tr>
      <w:tr w:rsidR="00651702" w:rsidRPr="00651702" w:rsidTr="00651702">
        <w:tc>
          <w:tcPr>
            <w:tcW w:w="2205" w:type="dxa"/>
            <w:shd w:val="clear" w:color="auto" w:fill="C4BC96"/>
          </w:tcPr>
          <w:p w:rsidR="00651702" w:rsidRPr="00651702" w:rsidRDefault="00651702" w:rsidP="00651702">
            <w:pPr>
              <w:rPr>
                <w:rFonts w:ascii="Arial" w:hAnsi="Arial" w:cs="Arial"/>
                <w:sz w:val="20"/>
                <w:szCs w:val="20"/>
              </w:rPr>
            </w:pPr>
            <w:r w:rsidRPr="00651702">
              <w:rPr>
                <w:rFonts w:ascii="Arial" w:hAnsi="Arial" w:cs="Arial"/>
                <w:sz w:val="20"/>
                <w:szCs w:val="20"/>
              </w:rPr>
              <w:t>Semester</w:t>
            </w:r>
          </w:p>
          <w:p w:rsidR="00651702" w:rsidRPr="00651702" w:rsidRDefault="00651702" w:rsidP="00651702">
            <w:pPr>
              <w:rPr>
                <w:rFonts w:ascii="Arial" w:hAnsi="Arial" w:cs="Arial"/>
                <w:sz w:val="20"/>
                <w:szCs w:val="20"/>
              </w:rPr>
            </w:pPr>
          </w:p>
        </w:tc>
        <w:tc>
          <w:tcPr>
            <w:tcW w:w="6857" w:type="dxa"/>
          </w:tcPr>
          <w:p w:rsidR="00651702" w:rsidRPr="00651702" w:rsidRDefault="00651702" w:rsidP="00651702">
            <w:pPr>
              <w:rPr>
                <w:rFonts w:ascii="Arial" w:hAnsi="Arial" w:cs="Arial"/>
                <w:sz w:val="20"/>
                <w:szCs w:val="20"/>
                <w:lang w:val="da-DK"/>
              </w:rPr>
            </w:pPr>
            <w:r w:rsidRPr="00651702">
              <w:rPr>
                <w:rFonts w:ascii="Arial" w:hAnsi="Arial" w:cs="Arial"/>
                <w:sz w:val="20"/>
                <w:szCs w:val="20"/>
                <w:lang w:val="da-DK"/>
              </w:rPr>
              <w:t>Spring semester</w:t>
            </w:r>
          </w:p>
          <w:p w:rsidR="00651702" w:rsidRPr="00651702" w:rsidRDefault="00651702" w:rsidP="00651702">
            <w:pPr>
              <w:rPr>
                <w:rFonts w:ascii="Arial" w:hAnsi="Arial" w:cs="Arial"/>
                <w:sz w:val="20"/>
                <w:szCs w:val="20"/>
                <w:lang w:val="da-DK"/>
              </w:rPr>
            </w:pPr>
          </w:p>
        </w:tc>
      </w:tr>
      <w:tr w:rsidR="00651702" w:rsidRPr="00651702" w:rsidTr="00651702">
        <w:tc>
          <w:tcPr>
            <w:tcW w:w="2205" w:type="dxa"/>
            <w:shd w:val="clear" w:color="auto" w:fill="C4BC96"/>
          </w:tcPr>
          <w:p w:rsidR="00651702" w:rsidRPr="00651702" w:rsidRDefault="00651702" w:rsidP="00651702">
            <w:pPr>
              <w:rPr>
                <w:rFonts w:ascii="Arial" w:hAnsi="Arial" w:cs="Arial"/>
                <w:sz w:val="20"/>
                <w:szCs w:val="20"/>
              </w:rPr>
            </w:pPr>
            <w:r w:rsidRPr="00651702">
              <w:rPr>
                <w:rFonts w:ascii="Arial" w:hAnsi="Arial" w:cs="Arial"/>
                <w:sz w:val="20"/>
                <w:szCs w:val="20"/>
              </w:rPr>
              <w:t>Faculty / Department</w:t>
            </w:r>
          </w:p>
        </w:tc>
        <w:tc>
          <w:tcPr>
            <w:tcW w:w="6857" w:type="dxa"/>
          </w:tcPr>
          <w:p w:rsidR="00651702" w:rsidRPr="00651702" w:rsidRDefault="00651702" w:rsidP="00651702">
            <w:pPr>
              <w:rPr>
                <w:rFonts w:ascii="Arial" w:eastAsia="Times New Roman" w:hAnsi="Arial" w:cs="Arial"/>
                <w:sz w:val="20"/>
                <w:szCs w:val="20"/>
              </w:rPr>
            </w:pPr>
            <w:r w:rsidRPr="00651702">
              <w:rPr>
                <w:rFonts w:ascii="Arial" w:eastAsia="Times New Roman" w:hAnsi="Arial" w:cs="Arial"/>
                <w:sz w:val="20"/>
                <w:szCs w:val="20"/>
              </w:rPr>
              <w:t>Faculty of Business Studies</w:t>
            </w:r>
          </w:p>
          <w:p w:rsidR="00651702" w:rsidRPr="00651702" w:rsidRDefault="00651702" w:rsidP="00651702">
            <w:pPr>
              <w:rPr>
                <w:rFonts w:ascii="Arial" w:hAnsi="Arial" w:cs="Arial"/>
                <w:sz w:val="20"/>
                <w:szCs w:val="20"/>
              </w:rPr>
            </w:pPr>
          </w:p>
        </w:tc>
      </w:tr>
      <w:tr w:rsidR="00651702" w:rsidRPr="00651702" w:rsidTr="00651702">
        <w:tc>
          <w:tcPr>
            <w:tcW w:w="2205" w:type="dxa"/>
            <w:shd w:val="clear" w:color="auto" w:fill="C4BC96"/>
          </w:tcPr>
          <w:p w:rsidR="00651702" w:rsidRPr="00651702" w:rsidRDefault="00651702" w:rsidP="00651702">
            <w:pPr>
              <w:rPr>
                <w:rFonts w:ascii="Arial" w:hAnsi="Arial" w:cs="Arial"/>
                <w:sz w:val="20"/>
                <w:szCs w:val="20"/>
              </w:rPr>
            </w:pPr>
            <w:r w:rsidRPr="00651702">
              <w:rPr>
                <w:rFonts w:ascii="Arial" w:hAnsi="Arial" w:cs="Arial"/>
                <w:sz w:val="20"/>
                <w:szCs w:val="20"/>
              </w:rPr>
              <w:t>Professor</w:t>
            </w:r>
          </w:p>
        </w:tc>
        <w:tc>
          <w:tcPr>
            <w:tcW w:w="6857" w:type="dxa"/>
          </w:tcPr>
          <w:p w:rsidR="00651702" w:rsidRPr="00651702" w:rsidRDefault="00651702" w:rsidP="00651702">
            <w:pPr>
              <w:rPr>
                <w:rFonts w:ascii="Arial" w:hAnsi="Arial" w:cs="Arial"/>
                <w:sz w:val="20"/>
                <w:szCs w:val="20"/>
              </w:rPr>
            </w:pPr>
            <w:r w:rsidRPr="00651702">
              <w:rPr>
                <w:rFonts w:ascii="Arial" w:eastAsia="Times New Roman" w:hAnsi="Arial" w:cs="Arial"/>
                <w:sz w:val="20"/>
                <w:szCs w:val="20"/>
              </w:rPr>
              <w:t>Professor Uroš Ćemalović, PhD</w:t>
            </w:r>
          </w:p>
          <w:p w:rsidR="00651702" w:rsidRPr="00651702" w:rsidRDefault="00651702" w:rsidP="00651702">
            <w:pPr>
              <w:rPr>
                <w:rFonts w:ascii="Arial" w:hAnsi="Arial" w:cs="Arial"/>
                <w:sz w:val="20"/>
                <w:szCs w:val="20"/>
              </w:rPr>
            </w:pPr>
          </w:p>
        </w:tc>
      </w:tr>
      <w:tr w:rsidR="00651702" w:rsidRPr="00651702" w:rsidTr="00651702">
        <w:tc>
          <w:tcPr>
            <w:tcW w:w="2205" w:type="dxa"/>
            <w:shd w:val="clear" w:color="auto" w:fill="C4BC96"/>
          </w:tcPr>
          <w:p w:rsidR="00651702" w:rsidRPr="00651702" w:rsidRDefault="00651702" w:rsidP="00651702">
            <w:pPr>
              <w:rPr>
                <w:rFonts w:ascii="Arial" w:hAnsi="Arial" w:cs="Arial"/>
                <w:sz w:val="20"/>
                <w:szCs w:val="20"/>
              </w:rPr>
            </w:pPr>
            <w:r w:rsidRPr="00651702">
              <w:rPr>
                <w:rFonts w:ascii="Arial" w:hAnsi="Arial" w:cs="Arial"/>
                <w:sz w:val="20"/>
                <w:szCs w:val="20"/>
              </w:rPr>
              <w:t>ECTS credits</w:t>
            </w:r>
          </w:p>
        </w:tc>
        <w:tc>
          <w:tcPr>
            <w:tcW w:w="6857" w:type="dxa"/>
          </w:tcPr>
          <w:p w:rsidR="00651702" w:rsidRPr="00651702" w:rsidRDefault="00651702" w:rsidP="00651702">
            <w:pPr>
              <w:rPr>
                <w:rFonts w:ascii="Arial" w:hAnsi="Arial" w:cs="Arial"/>
                <w:sz w:val="20"/>
                <w:szCs w:val="20"/>
              </w:rPr>
            </w:pPr>
            <w:r w:rsidRPr="00651702">
              <w:rPr>
                <w:rFonts w:ascii="Arial" w:hAnsi="Arial" w:cs="Arial"/>
                <w:sz w:val="20"/>
                <w:szCs w:val="20"/>
              </w:rPr>
              <w:t>8</w:t>
            </w:r>
          </w:p>
        </w:tc>
      </w:tr>
      <w:tr w:rsidR="00651702" w:rsidRPr="00651702" w:rsidTr="00651702">
        <w:tc>
          <w:tcPr>
            <w:tcW w:w="2205" w:type="dxa"/>
            <w:shd w:val="clear" w:color="auto" w:fill="C4BC96"/>
          </w:tcPr>
          <w:p w:rsidR="00651702" w:rsidRPr="00651702" w:rsidRDefault="00651702" w:rsidP="00651702">
            <w:pPr>
              <w:rPr>
                <w:rFonts w:ascii="Arial" w:hAnsi="Arial" w:cs="Arial"/>
                <w:sz w:val="20"/>
                <w:szCs w:val="20"/>
              </w:rPr>
            </w:pPr>
            <w:r w:rsidRPr="00651702">
              <w:rPr>
                <w:rFonts w:ascii="Arial" w:hAnsi="Arial" w:cs="Arial"/>
                <w:sz w:val="20"/>
                <w:szCs w:val="20"/>
              </w:rPr>
              <w:t>Language of instruction</w:t>
            </w:r>
          </w:p>
        </w:tc>
        <w:tc>
          <w:tcPr>
            <w:tcW w:w="6857" w:type="dxa"/>
          </w:tcPr>
          <w:p w:rsidR="00651702" w:rsidRPr="00651702" w:rsidRDefault="00651702" w:rsidP="00651702">
            <w:pPr>
              <w:rPr>
                <w:rFonts w:ascii="Arial" w:hAnsi="Arial" w:cs="Arial"/>
                <w:sz w:val="20"/>
                <w:szCs w:val="20"/>
              </w:rPr>
            </w:pPr>
            <w:r w:rsidRPr="00651702">
              <w:rPr>
                <w:rFonts w:ascii="Arial" w:hAnsi="Arial" w:cs="Arial"/>
                <w:sz w:val="20"/>
                <w:szCs w:val="20"/>
              </w:rPr>
              <w:t>English</w:t>
            </w:r>
          </w:p>
        </w:tc>
      </w:tr>
      <w:tr w:rsidR="00651702" w:rsidRPr="00651702" w:rsidTr="00651702">
        <w:tc>
          <w:tcPr>
            <w:tcW w:w="2205" w:type="dxa"/>
            <w:shd w:val="clear" w:color="auto" w:fill="C4BC96"/>
          </w:tcPr>
          <w:p w:rsidR="00651702" w:rsidRPr="00651702" w:rsidRDefault="00651702" w:rsidP="00651702">
            <w:pPr>
              <w:rPr>
                <w:rFonts w:ascii="Arial" w:hAnsi="Arial" w:cs="Arial"/>
                <w:sz w:val="20"/>
                <w:szCs w:val="20"/>
              </w:rPr>
            </w:pPr>
            <w:r w:rsidRPr="00651702">
              <w:rPr>
                <w:rFonts w:ascii="Arial" w:hAnsi="Arial" w:cs="Arial"/>
                <w:sz w:val="20"/>
                <w:szCs w:val="20"/>
              </w:rPr>
              <w:t>Level of study</w:t>
            </w:r>
          </w:p>
        </w:tc>
        <w:tc>
          <w:tcPr>
            <w:tcW w:w="6857" w:type="dxa"/>
          </w:tcPr>
          <w:p w:rsidR="00651702" w:rsidRPr="00651702" w:rsidRDefault="00651702" w:rsidP="00651702">
            <w:pPr>
              <w:rPr>
                <w:rFonts w:ascii="Arial" w:hAnsi="Arial" w:cs="Arial"/>
                <w:sz w:val="20"/>
                <w:szCs w:val="20"/>
              </w:rPr>
            </w:pPr>
            <w:r w:rsidRPr="00651702">
              <w:rPr>
                <w:rFonts w:ascii="Arial" w:hAnsi="Arial" w:cs="Arial"/>
                <w:sz w:val="20"/>
                <w:szCs w:val="20"/>
              </w:rPr>
              <w:t>Bachelor and Master</w:t>
            </w:r>
          </w:p>
        </w:tc>
      </w:tr>
      <w:tr w:rsidR="00651702" w:rsidRPr="00651702" w:rsidTr="00651702">
        <w:tc>
          <w:tcPr>
            <w:tcW w:w="2205" w:type="dxa"/>
            <w:shd w:val="clear" w:color="auto" w:fill="C4BC96"/>
          </w:tcPr>
          <w:p w:rsidR="00651702" w:rsidRPr="00651702" w:rsidRDefault="00651702" w:rsidP="00651702">
            <w:pPr>
              <w:rPr>
                <w:rFonts w:ascii="Arial" w:hAnsi="Arial" w:cs="Arial"/>
                <w:sz w:val="20"/>
                <w:szCs w:val="20"/>
              </w:rPr>
            </w:pPr>
            <w:r w:rsidRPr="00651702">
              <w:rPr>
                <w:rFonts w:ascii="Arial" w:hAnsi="Arial" w:cs="Arial"/>
                <w:sz w:val="20"/>
                <w:szCs w:val="20"/>
              </w:rPr>
              <w:t>Content</w:t>
            </w:r>
          </w:p>
        </w:tc>
        <w:tc>
          <w:tcPr>
            <w:tcW w:w="6857" w:type="dxa"/>
          </w:tcPr>
          <w:p w:rsidR="00651702" w:rsidRPr="00651702" w:rsidRDefault="00651702" w:rsidP="00651702">
            <w:pPr>
              <w:rPr>
                <w:rFonts w:ascii="Arial" w:hAnsi="Arial" w:cs="Arial"/>
                <w:sz w:val="20"/>
                <w:szCs w:val="20"/>
                <w:lang w:val="en-GB"/>
              </w:rPr>
            </w:pPr>
            <w:r w:rsidRPr="00651702">
              <w:rPr>
                <w:rFonts w:ascii="Arial" w:hAnsi="Arial" w:cs="Arial"/>
                <w:sz w:val="20"/>
                <w:szCs w:val="20"/>
                <w:lang w:val="en-GB"/>
              </w:rPr>
              <w:t>The overall objective of the course is to provide the fundamental knowledge on international legal acts relevant for the establishment and functioning of companies having significant cross-border activities. The specific aims are: to present the development of international conventions relevant for businesses; to analyse the legal framework for supra-national economic activity; to examine the mission and the competencies of international organisations influencing international trade, commerce and provision of services; to provide an overview of the European Union’s institutional framework and its business-related legislation.</w:t>
            </w:r>
          </w:p>
          <w:p w:rsidR="00651702" w:rsidRPr="00651702" w:rsidRDefault="00651702" w:rsidP="00651702">
            <w:pPr>
              <w:rPr>
                <w:rFonts w:ascii="Arial" w:hAnsi="Arial" w:cs="Arial"/>
                <w:sz w:val="20"/>
                <w:szCs w:val="20"/>
              </w:rPr>
            </w:pPr>
          </w:p>
        </w:tc>
      </w:tr>
      <w:tr w:rsidR="00651702" w:rsidRPr="00651702" w:rsidTr="00651702">
        <w:tc>
          <w:tcPr>
            <w:tcW w:w="2205" w:type="dxa"/>
            <w:shd w:val="clear" w:color="auto" w:fill="C4BC96"/>
          </w:tcPr>
          <w:p w:rsidR="00651702" w:rsidRPr="00651702" w:rsidRDefault="00651702" w:rsidP="00651702">
            <w:pPr>
              <w:rPr>
                <w:rFonts w:ascii="Arial" w:hAnsi="Arial" w:cs="Arial"/>
                <w:sz w:val="20"/>
                <w:szCs w:val="20"/>
              </w:rPr>
            </w:pPr>
            <w:r w:rsidRPr="00651702">
              <w:rPr>
                <w:rFonts w:ascii="Arial" w:hAnsi="Arial" w:cs="Arial"/>
                <w:sz w:val="20"/>
                <w:szCs w:val="20"/>
              </w:rPr>
              <w:t>Learning outcomes</w:t>
            </w:r>
          </w:p>
        </w:tc>
        <w:tc>
          <w:tcPr>
            <w:tcW w:w="6857" w:type="dxa"/>
          </w:tcPr>
          <w:p w:rsidR="00651702" w:rsidRPr="00651702" w:rsidRDefault="00651702" w:rsidP="00651702">
            <w:pPr>
              <w:rPr>
                <w:rFonts w:ascii="Arial" w:hAnsi="Arial" w:cs="Arial"/>
                <w:sz w:val="20"/>
                <w:szCs w:val="20"/>
              </w:rPr>
            </w:pPr>
            <w:r w:rsidRPr="00651702">
              <w:rPr>
                <w:rFonts w:ascii="Arial" w:hAnsi="Arial" w:cs="Arial"/>
                <w:sz w:val="20"/>
                <w:szCs w:val="20"/>
                <w:lang w:val="en-GB"/>
              </w:rPr>
              <w:t>An aptitude to understand the impact of international legal acts on companies having significant cross-border activities; an ability to recognize the effect of international conventions on everyday functioning of economic operators; a skill to promptly recognize the crucial consequences of normative framework; an aptitude to draft the legal acts crucial for the establishment of transnational companies.</w:t>
            </w:r>
          </w:p>
        </w:tc>
      </w:tr>
      <w:tr w:rsidR="00651702" w:rsidRPr="00651702" w:rsidTr="00651702">
        <w:tc>
          <w:tcPr>
            <w:tcW w:w="2205" w:type="dxa"/>
            <w:shd w:val="clear" w:color="auto" w:fill="C4BC96"/>
          </w:tcPr>
          <w:p w:rsidR="00651702" w:rsidRPr="00651702" w:rsidRDefault="00651702" w:rsidP="00651702">
            <w:pPr>
              <w:rPr>
                <w:rFonts w:ascii="Arial" w:hAnsi="Arial" w:cs="Arial"/>
                <w:sz w:val="20"/>
                <w:szCs w:val="20"/>
              </w:rPr>
            </w:pPr>
            <w:r w:rsidRPr="00651702">
              <w:rPr>
                <w:rFonts w:ascii="Arial" w:hAnsi="Arial" w:cs="Arial"/>
                <w:sz w:val="20"/>
                <w:szCs w:val="20"/>
              </w:rPr>
              <w:t>Length</w:t>
            </w:r>
          </w:p>
        </w:tc>
        <w:tc>
          <w:tcPr>
            <w:tcW w:w="6857" w:type="dxa"/>
          </w:tcPr>
          <w:p w:rsidR="00651702" w:rsidRPr="00651702" w:rsidRDefault="00651702" w:rsidP="00651702">
            <w:pPr>
              <w:rPr>
                <w:rFonts w:ascii="Arial" w:hAnsi="Arial" w:cs="Arial"/>
                <w:sz w:val="20"/>
                <w:szCs w:val="20"/>
              </w:rPr>
            </w:pPr>
            <w:r w:rsidRPr="00651702">
              <w:rPr>
                <w:rFonts w:ascii="Arial" w:hAnsi="Arial" w:cs="Arial"/>
                <w:sz w:val="20"/>
                <w:szCs w:val="20"/>
              </w:rPr>
              <w:t>One semester.</w:t>
            </w:r>
          </w:p>
        </w:tc>
      </w:tr>
      <w:tr w:rsidR="00651702" w:rsidRPr="00651702" w:rsidTr="00651702">
        <w:tc>
          <w:tcPr>
            <w:tcW w:w="2205" w:type="dxa"/>
            <w:shd w:val="clear" w:color="auto" w:fill="C4BC96"/>
          </w:tcPr>
          <w:p w:rsidR="00651702" w:rsidRPr="00651702" w:rsidRDefault="00651702" w:rsidP="00651702">
            <w:pPr>
              <w:rPr>
                <w:rFonts w:ascii="Arial" w:hAnsi="Arial" w:cs="Arial"/>
                <w:sz w:val="20"/>
                <w:szCs w:val="20"/>
              </w:rPr>
            </w:pPr>
            <w:r w:rsidRPr="00651702">
              <w:rPr>
                <w:rFonts w:ascii="Arial" w:hAnsi="Arial" w:cs="Arial"/>
                <w:sz w:val="20"/>
                <w:szCs w:val="20"/>
              </w:rPr>
              <w:t>General information</w:t>
            </w:r>
          </w:p>
        </w:tc>
        <w:tc>
          <w:tcPr>
            <w:tcW w:w="6857" w:type="dxa"/>
          </w:tcPr>
          <w:p w:rsidR="00651702" w:rsidRPr="00651702" w:rsidRDefault="00651702" w:rsidP="00651702">
            <w:pPr>
              <w:rPr>
                <w:rFonts w:ascii="Arial" w:hAnsi="Arial" w:cs="Arial"/>
                <w:sz w:val="20"/>
                <w:szCs w:val="20"/>
                <w:lang w:val="en-GB"/>
              </w:rPr>
            </w:pPr>
            <w:r w:rsidRPr="00651702">
              <w:rPr>
                <w:rFonts w:ascii="Arial" w:hAnsi="Arial" w:cs="Arial"/>
                <w:sz w:val="20"/>
                <w:szCs w:val="20"/>
                <w:lang w:val="en-GB"/>
              </w:rPr>
              <w:t>Students will be noted on the basis of the: 1) final oral examination; 2) quality and originality of their paper; 3) oral presentation of their paper.</w:t>
            </w:r>
          </w:p>
          <w:p w:rsidR="00651702" w:rsidRPr="00651702" w:rsidRDefault="00651702" w:rsidP="00651702">
            <w:pPr>
              <w:rPr>
                <w:rFonts w:ascii="Arial" w:hAnsi="Arial" w:cs="Arial"/>
                <w:sz w:val="20"/>
                <w:szCs w:val="20"/>
                <w:lang w:val="en-GB"/>
              </w:rPr>
            </w:pPr>
            <w:r w:rsidRPr="00651702">
              <w:rPr>
                <w:rFonts w:ascii="Arial" w:hAnsi="Arial" w:cs="Arial"/>
                <w:sz w:val="20"/>
                <w:szCs w:val="20"/>
                <w:lang w:val="en-GB"/>
              </w:rPr>
              <w:t>After the first session (course and/or consultations), the students will propose the paper topic, on the basis of their particular interest. Once the professor has approved the topic, the students will start writing their paper, in order to submit it by e-mail at least 7 days before the final examination. Finally, on the day of the examination, the students will defend their paper and discuss the issues related to the course topic. (Standards for the paper: Times New Roman 12, spacing 1.5, 12000-17000 characters with spaces.)</w:t>
            </w:r>
          </w:p>
          <w:p w:rsidR="00651702" w:rsidRPr="00651702" w:rsidRDefault="00651702" w:rsidP="00651702">
            <w:pPr>
              <w:rPr>
                <w:rFonts w:ascii="Arial" w:hAnsi="Arial" w:cs="Arial"/>
                <w:sz w:val="20"/>
                <w:szCs w:val="20"/>
                <w:lang w:val="en-GB"/>
              </w:rPr>
            </w:pPr>
            <w:r w:rsidRPr="00651702">
              <w:rPr>
                <w:rFonts w:ascii="Arial" w:hAnsi="Arial" w:cs="Arial"/>
                <w:sz w:val="20"/>
                <w:szCs w:val="20"/>
                <w:lang w:val="en-GB"/>
              </w:rPr>
              <w:t xml:space="preserve">Indicative literature for the preparation of the paper and for oral examination: </w:t>
            </w:r>
          </w:p>
          <w:p w:rsidR="00651702" w:rsidRPr="00651702" w:rsidRDefault="00651702" w:rsidP="00651702">
            <w:pPr>
              <w:rPr>
                <w:rFonts w:ascii="Arial" w:hAnsi="Arial" w:cs="Arial"/>
                <w:sz w:val="20"/>
                <w:szCs w:val="20"/>
                <w:lang w:val="en-GB"/>
              </w:rPr>
            </w:pPr>
            <w:r w:rsidRPr="00651702">
              <w:rPr>
                <w:rFonts w:ascii="Arial" w:hAnsi="Arial" w:cs="Arial"/>
                <w:sz w:val="20"/>
                <w:szCs w:val="20"/>
                <w:lang w:val="en-GB"/>
              </w:rPr>
              <w:t>1. Introduction to the International Business Law, CMAO edition, 2012</w:t>
            </w:r>
          </w:p>
          <w:p w:rsidR="00651702" w:rsidRPr="00651702" w:rsidRDefault="00651702" w:rsidP="00651702">
            <w:pPr>
              <w:rPr>
                <w:rFonts w:ascii="Arial" w:hAnsi="Arial" w:cs="Arial"/>
                <w:sz w:val="20"/>
                <w:szCs w:val="20"/>
                <w:lang w:val="en-GB"/>
              </w:rPr>
            </w:pPr>
            <w:r w:rsidRPr="00651702">
              <w:rPr>
                <w:rFonts w:ascii="Arial" w:hAnsi="Arial" w:cs="Arial"/>
                <w:sz w:val="20"/>
                <w:szCs w:val="20"/>
                <w:lang w:val="en-GB"/>
              </w:rPr>
              <w:t xml:space="preserve">2. The ABC of European Union Law, Klaus-Dieter </w:t>
            </w:r>
            <w:proofErr w:type="spellStart"/>
            <w:r w:rsidRPr="00651702">
              <w:rPr>
                <w:rFonts w:ascii="Arial" w:hAnsi="Arial" w:cs="Arial"/>
                <w:sz w:val="20"/>
                <w:szCs w:val="20"/>
                <w:lang w:val="en-GB"/>
              </w:rPr>
              <w:t>Borchardt</w:t>
            </w:r>
            <w:proofErr w:type="spellEnd"/>
            <w:r w:rsidRPr="00651702">
              <w:rPr>
                <w:rFonts w:ascii="Arial" w:hAnsi="Arial" w:cs="Arial"/>
                <w:sz w:val="20"/>
                <w:szCs w:val="20"/>
                <w:lang w:val="en-GB"/>
              </w:rPr>
              <w:t xml:space="preserve">, 131 pages, 2010, also accessible online, </w:t>
            </w:r>
            <w:hyperlink r:id="rId4" w:history="1">
              <w:r w:rsidRPr="00651702">
                <w:rPr>
                  <w:rFonts w:ascii="Arial" w:hAnsi="Arial" w:cs="Arial"/>
                  <w:sz w:val="20"/>
                  <w:szCs w:val="20"/>
                  <w:u w:val="single"/>
                  <w:lang w:val="en-GB"/>
                </w:rPr>
                <w:t>http://europa.eu/documentation/legislation/pdf/oa8107147_en.pdf</w:t>
              </w:r>
            </w:hyperlink>
          </w:p>
          <w:p w:rsidR="00651702" w:rsidRPr="00651702" w:rsidRDefault="00651702" w:rsidP="00651702">
            <w:pPr>
              <w:rPr>
                <w:rFonts w:ascii="Arial" w:hAnsi="Arial" w:cs="Arial"/>
                <w:sz w:val="20"/>
                <w:szCs w:val="20"/>
                <w:lang w:val="en-GB"/>
              </w:rPr>
            </w:pPr>
            <w:r w:rsidRPr="00651702">
              <w:rPr>
                <w:rFonts w:ascii="Arial" w:hAnsi="Arial" w:cs="Arial"/>
                <w:sz w:val="20"/>
                <w:szCs w:val="20"/>
                <w:lang w:val="en-GB"/>
              </w:rPr>
              <w:t xml:space="preserve">3. The World Trade Organization – publications </w:t>
            </w:r>
          </w:p>
          <w:p w:rsidR="00651702" w:rsidRPr="00651702" w:rsidRDefault="00651702" w:rsidP="00651702">
            <w:pPr>
              <w:rPr>
                <w:rFonts w:ascii="Arial" w:hAnsi="Arial" w:cs="Arial"/>
                <w:sz w:val="20"/>
                <w:szCs w:val="20"/>
                <w:lang w:val="en-GB"/>
              </w:rPr>
            </w:pPr>
            <w:hyperlink r:id="rId5" w:history="1">
              <w:r w:rsidRPr="00651702">
                <w:rPr>
                  <w:rFonts w:ascii="Arial" w:hAnsi="Arial" w:cs="Arial"/>
                  <w:sz w:val="20"/>
                  <w:szCs w:val="20"/>
                  <w:u w:val="single"/>
                  <w:lang w:val="en-GB"/>
                </w:rPr>
                <w:t>https://www.wto.org/english/res_e/publications_e/publications_e.htm</w:t>
              </w:r>
            </w:hyperlink>
          </w:p>
          <w:p w:rsidR="00651702" w:rsidRPr="00651702" w:rsidRDefault="00651702" w:rsidP="00651702">
            <w:pPr>
              <w:rPr>
                <w:rFonts w:ascii="Arial" w:hAnsi="Arial" w:cs="Arial"/>
                <w:sz w:val="20"/>
                <w:szCs w:val="20"/>
                <w:lang w:val="en-GB"/>
              </w:rPr>
            </w:pPr>
          </w:p>
        </w:tc>
      </w:tr>
      <w:tr w:rsidR="00651702" w:rsidRPr="00651702" w:rsidTr="00651702">
        <w:tc>
          <w:tcPr>
            <w:tcW w:w="2205" w:type="dxa"/>
            <w:shd w:val="clear" w:color="auto" w:fill="C4BC96"/>
          </w:tcPr>
          <w:p w:rsidR="00651702" w:rsidRPr="00651702" w:rsidRDefault="00651702" w:rsidP="00651702">
            <w:pPr>
              <w:rPr>
                <w:rFonts w:ascii="Arial" w:hAnsi="Arial" w:cs="Arial"/>
                <w:sz w:val="20"/>
                <w:szCs w:val="20"/>
              </w:rPr>
            </w:pPr>
            <w:r w:rsidRPr="00651702">
              <w:rPr>
                <w:rFonts w:ascii="Arial" w:hAnsi="Arial" w:cs="Arial"/>
                <w:sz w:val="20"/>
                <w:szCs w:val="20"/>
              </w:rPr>
              <w:t>Restrictions to mobile students and availability before the signature of the learning agreement</w:t>
            </w:r>
          </w:p>
          <w:p w:rsidR="00651702" w:rsidRPr="00651702" w:rsidRDefault="00651702" w:rsidP="00651702">
            <w:pPr>
              <w:rPr>
                <w:rFonts w:ascii="Arial" w:hAnsi="Arial" w:cs="Arial"/>
                <w:sz w:val="20"/>
                <w:szCs w:val="20"/>
              </w:rPr>
            </w:pPr>
          </w:p>
        </w:tc>
        <w:tc>
          <w:tcPr>
            <w:tcW w:w="6857" w:type="dxa"/>
          </w:tcPr>
          <w:p w:rsidR="00651702" w:rsidRPr="00651702" w:rsidRDefault="00651702" w:rsidP="00651702">
            <w:pPr>
              <w:rPr>
                <w:rFonts w:ascii="Arial" w:hAnsi="Arial" w:cs="Arial"/>
                <w:sz w:val="20"/>
                <w:szCs w:val="20"/>
              </w:rPr>
            </w:pPr>
            <w:r w:rsidRPr="00651702">
              <w:rPr>
                <w:rFonts w:ascii="Arial" w:hAnsi="Arial" w:cs="Arial"/>
                <w:sz w:val="20"/>
                <w:szCs w:val="20"/>
              </w:rPr>
              <w:t>There is no any restrictions.</w:t>
            </w: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02"/>
    <w:rsid w:val="00651702"/>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80594-0232-437A-AEA0-27520217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702"/>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to.org/english/res_e/publications_e/publications_e.htm" TargetMode="External"/><Relationship Id="rId4" Type="http://schemas.openxmlformats.org/officeDocument/2006/relationships/hyperlink" Target="http://europa.eu/documentation/legislation/pdf/oa810714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2018-04-03T11:22:00Z</dcterms:created>
  <dcterms:modified xsi:type="dcterms:W3CDTF">2018-04-03T11:23:00Z</dcterms:modified>
</cp:coreProperties>
</file>