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495DC2" w:rsidRPr="00495DC2" w:rsidTr="00495DC2">
        <w:tc>
          <w:tcPr>
            <w:tcW w:w="2235" w:type="dxa"/>
            <w:shd w:val="clear" w:color="auto" w:fill="C4BC96"/>
          </w:tcPr>
          <w:p w:rsidR="00495DC2" w:rsidRPr="00495DC2" w:rsidRDefault="00495DC2" w:rsidP="00495DC2">
            <w:pPr>
              <w:spacing w:after="200" w:line="276" w:lineRule="auto"/>
              <w:rPr>
                <w:rFonts w:ascii="Arial" w:hAnsi="Arial" w:cs="Arial"/>
                <w:sz w:val="20"/>
                <w:szCs w:val="20"/>
              </w:rPr>
            </w:pPr>
            <w:r w:rsidRPr="00495DC2">
              <w:rPr>
                <w:rFonts w:ascii="Arial" w:hAnsi="Arial" w:cs="Arial"/>
                <w:sz w:val="20"/>
                <w:szCs w:val="20"/>
              </w:rPr>
              <w:t>Course title</w:t>
            </w:r>
          </w:p>
        </w:tc>
        <w:tc>
          <w:tcPr>
            <w:tcW w:w="7053" w:type="dxa"/>
          </w:tcPr>
          <w:p w:rsidR="00495DC2" w:rsidRPr="00495DC2" w:rsidRDefault="00495DC2" w:rsidP="00495DC2">
            <w:pPr>
              <w:spacing w:after="200" w:line="276" w:lineRule="auto"/>
              <w:rPr>
                <w:rFonts w:ascii="Arial" w:hAnsi="Arial" w:cs="Arial"/>
                <w:b/>
                <w:sz w:val="20"/>
                <w:szCs w:val="20"/>
                <w:u w:val="single"/>
              </w:rPr>
            </w:pPr>
            <w:bookmarkStart w:id="0" w:name="_GoBack"/>
            <w:r w:rsidRPr="00495DC2">
              <w:rPr>
                <w:rFonts w:ascii="Arial" w:hAnsi="Arial" w:cs="Arial"/>
                <w:b/>
                <w:sz w:val="20"/>
                <w:szCs w:val="20"/>
                <w:u w:val="single"/>
              </w:rPr>
              <w:t>International trade</w:t>
            </w:r>
            <w:bookmarkEnd w:id="0"/>
          </w:p>
        </w:tc>
      </w:tr>
      <w:tr w:rsidR="00495DC2" w:rsidRPr="00495DC2" w:rsidTr="00495DC2">
        <w:tc>
          <w:tcPr>
            <w:tcW w:w="2235" w:type="dxa"/>
            <w:shd w:val="clear" w:color="auto" w:fill="C4BC96"/>
          </w:tcPr>
          <w:p w:rsidR="00495DC2" w:rsidRPr="00495DC2" w:rsidRDefault="00495DC2" w:rsidP="00495DC2">
            <w:pPr>
              <w:spacing w:after="200" w:line="276" w:lineRule="auto"/>
              <w:rPr>
                <w:rFonts w:ascii="Arial" w:hAnsi="Arial" w:cs="Arial"/>
                <w:sz w:val="20"/>
                <w:szCs w:val="20"/>
              </w:rPr>
            </w:pPr>
            <w:r w:rsidRPr="00495DC2">
              <w:rPr>
                <w:rFonts w:ascii="Arial" w:hAnsi="Arial" w:cs="Arial"/>
                <w:sz w:val="20"/>
                <w:szCs w:val="20"/>
              </w:rPr>
              <w:t>Semester</w:t>
            </w:r>
          </w:p>
        </w:tc>
        <w:tc>
          <w:tcPr>
            <w:tcW w:w="7053" w:type="dxa"/>
          </w:tcPr>
          <w:p w:rsidR="00495DC2" w:rsidRPr="00495DC2" w:rsidRDefault="00495DC2" w:rsidP="00495DC2">
            <w:pPr>
              <w:spacing w:after="200" w:line="276" w:lineRule="auto"/>
              <w:rPr>
                <w:rFonts w:ascii="Arial" w:hAnsi="Arial" w:cs="Arial"/>
                <w:sz w:val="20"/>
                <w:szCs w:val="20"/>
                <w:lang w:val="da-DK"/>
              </w:rPr>
            </w:pPr>
            <w:r w:rsidRPr="00495DC2">
              <w:rPr>
                <w:rFonts w:ascii="Arial" w:hAnsi="Arial" w:cs="Arial"/>
                <w:sz w:val="20"/>
                <w:szCs w:val="20"/>
                <w:lang w:val="da-DK"/>
              </w:rPr>
              <w:t>Winter semester</w:t>
            </w:r>
          </w:p>
        </w:tc>
      </w:tr>
      <w:tr w:rsidR="00495DC2" w:rsidRPr="00495DC2" w:rsidTr="00495DC2">
        <w:tc>
          <w:tcPr>
            <w:tcW w:w="2235" w:type="dxa"/>
            <w:shd w:val="clear" w:color="auto" w:fill="C4BC96"/>
          </w:tcPr>
          <w:p w:rsidR="00495DC2" w:rsidRPr="00495DC2" w:rsidRDefault="00495DC2" w:rsidP="00495DC2">
            <w:pPr>
              <w:spacing w:after="200" w:line="276" w:lineRule="auto"/>
              <w:rPr>
                <w:rFonts w:ascii="Arial" w:hAnsi="Arial" w:cs="Arial"/>
                <w:sz w:val="20"/>
                <w:szCs w:val="20"/>
              </w:rPr>
            </w:pPr>
            <w:r w:rsidRPr="00495DC2">
              <w:rPr>
                <w:rFonts w:ascii="Arial" w:hAnsi="Arial" w:cs="Arial"/>
                <w:sz w:val="20"/>
                <w:szCs w:val="20"/>
              </w:rPr>
              <w:t>Faculty / Department</w:t>
            </w:r>
          </w:p>
        </w:tc>
        <w:tc>
          <w:tcPr>
            <w:tcW w:w="7053" w:type="dxa"/>
          </w:tcPr>
          <w:p w:rsidR="00495DC2" w:rsidRPr="00495DC2" w:rsidRDefault="00495DC2" w:rsidP="00495DC2">
            <w:pPr>
              <w:spacing w:after="200" w:line="276" w:lineRule="auto"/>
              <w:rPr>
                <w:rFonts w:ascii="Arial" w:hAnsi="Arial" w:cs="Arial"/>
                <w:sz w:val="20"/>
                <w:szCs w:val="20"/>
              </w:rPr>
            </w:pPr>
            <w:r w:rsidRPr="00495DC2">
              <w:rPr>
                <w:rFonts w:ascii="Arial" w:hAnsi="Arial" w:cs="Arial"/>
                <w:sz w:val="20"/>
                <w:szCs w:val="20"/>
              </w:rPr>
              <w:t>Faculty of Geoeconomics</w:t>
            </w:r>
          </w:p>
        </w:tc>
      </w:tr>
      <w:tr w:rsidR="00495DC2" w:rsidRPr="00495DC2" w:rsidTr="00495DC2">
        <w:tc>
          <w:tcPr>
            <w:tcW w:w="2235" w:type="dxa"/>
            <w:shd w:val="clear" w:color="auto" w:fill="C4BC96"/>
          </w:tcPr>
          <w:p w:rsidR="00495DC2" w:rsidRPr="00495DC2" w:rsidRDefault="00495DC2" w:rsidP="00495DC2">
            <w:pPr>
              <w:spacing w:after="200" w:line="276" w:lineRule="auto"/>
              <w:rPr>
                <w:rFonts w:ascii="Arial" w:hAnsi="Arial" w:cs="Arial"/>
                <w:sz w:val="20"/>
                <w:szCs w:val="20"/>
              </w:rPr>
            </w:pPr>
            <w:r w:rsidRPr="00495DC2">
              <w:rPr>
                <w:rFonts w:ascii="Arial" w:hAnsi="Arial" w:cs="Arial"/>
                <w:sz w:val="20"/>
                <w:szCs w:val="20"/>
              </w:rPr>
              <w:t>Professor</w:t>
            </w:r>
          </w:p>
        </w:tc>
        <w:tc>
          <w:tcPr>
            <w:tcW w:w="7053" w:type="dxa"/>
          </w:tcPr>
          <w:p w:rsidR="00495DC2" w:rsidRPr="00495DC2" w:rsidRDefault="00495DC2" w:rsidP="00495DC2">
            <w:pPr>
              <w:spacing w:after="200" w:line="276" w:lineRule="auto"/>
              <w:rPr>
                <w:rFonts w:ascii="Arial" w:hAnsi="Arial" w:cs="Arial"/>
                <w:sz w:val="20"/>
                <w:szCs w:val="20"/>
              </w:rPr>
            </w:pPr>
            <w:r w:rsidRPr="00495DC2">
              <w:rPr>
                <w:rFonts w:ascii="Arial" w:hAnsi="Arial" w:cs="Arial"/>
                <w:sz w:val="20"/>
                <w:szCs w:val="20"/>
              </w:rPr>
              <w:t>Doc. Goran Lalić, PhD</w:t>
            </w:r>
          </w:p>
        </w:tc>
      </w:tr>
      <w:tr w:rsidR="00495DC2" w:rsidRPr="00495DC2" w:rsidTr="00495DC2">
        <w:tc>
          <w:tcPr>
            <w:tcW w:w="2235" w:type="dxa"/>
            <w:shd w:val="clear" w:color="auto" w:fill="C4BC96"/>
          </w:tcPr>
          <w:p w:rsidR="00495DC2" w:rsidRPr="00495DC2" w:rsidRDefault="00495DC2" w:rsidP="00495DC2">
            <w:pPr>
              <w:spacing w:after="200" w:line="276" w:lineRule="auto"/>
              <w:rPr>
                <w:rFonts w:ascii="Arial" w:hAnsi="Arial" w:cs="Arial"/>
                <w:sz w:val="20"/>
                <w:szCs w:val="20"/>
              </w:rPr>
            </w:pPr>
            <w:r w:rsidRPr="00495DC2">
              <w:rPr>
                <w:rFonts w:ascii="Arial" w:hAnsi="Arial" w:cs="Arial"/>
                <w:sz w:val="20"/>
                <w:szCs w:val="20"/>
              </w:rPr>
              <w:t>ECTS credits</w:t>
            </w:r>
          </w:p>
        </w:tc>
        <w:tc>
          <w:tcPr>
            <w:tcW w:w="7053" w:type="dxa"/>
          </w:tcPr>
          <w:p w:rsidR="00495DC2" w:rsidRPr="00495DC2" w:rsidRDefault="00495DC2" w:rsidP="00495DC2">
            <w:pPr>
              <w:spacing w:after="200" w:line="276" w:lineRule="auto"/>
              <w:rPr>
                <w:rFonts w:ascii="Arial" w:hAnsi="Arial" w:cs="Arial"/>
                <w:sz w:val="20"/>
                <w:szCs w:val="20"/>
              </w:rPr>
            </w:pPr>
            <w:r w:rsidRPr="00495DC2">
              <w:rPr>
                <w:rFonts w:ascii="Arial" w:hAnsi="Arial" w:cs="Arial"/>
                <w:sz w:val="20"/>
                <w:szCs w:val="20"/>
              </w:rPr>
              <w:t>10</w:t>
            </w:r>
          </w:p>
        </w:tc>
      </w:tr>
      <w:tr w:rsidR="00495DC2" w:rsidRPr="00495DC2" w:rsidTr="00495DC2">
        <w:tc>
          <w:tcPr>
            <w:tcW w:w="2235" w:type="dxa"/>
            <w:shd w:val="clear" w:color="auto" w:fill="C4BC96"/>
          </w:tcPr>
          <w:p w:rsidR="00495DC2" w:rsidRPr="00495DC2" w:rsidRDefault="00495DC2" w:rsidP="00495DC2">
            <w:pPr>
              <w:spacing w:after="200" w:line="276" w:lineRule="auto"/>
              <w:rPr>
                <w:rFonts w:ascii="Arial" w:hAnsi="Arial" w:cs="Arial"/>
                <w:sz w:val="20"/>
                <w:szCs w:val="20"/>
              </w:rPr>
            </w:pPr>
            <w:r w:rsidRPr="00495DC2">
              <w:rPr>
                <w:rFonts w:ascii="Arial" w:hAnsi="Arial" w:cs="Arial"/>
                <w:sz w:val="20"/>
                <w:szCs w:val="20"/>
              </w:rPr>
              <w:t>Language of instruction</w:t>
            </w:r>
          </w:p>
        </w:tc>
        <w:tc>
          <w:tcPr>
            <w:tcW w:w="7053" w:type="dxa"/>
          </w:tcPr>
          <w:p w:rsidR="00495DC2" w:rsidRPr="00495DC2" w:rsidRDefault="00495DC2" w:rsidP="00495DC2">
            <w:pPr>
              <w:spacing w:after="200" w:line="276" w:lineRule="auto"/>
              <w:rPr>
                <w:rFonts w:ascii="Arial" w:hAnsi="Arial" w:cs="Arial"/>
                <w:sz w:val="20"/>
                <w:szCs w:val="20"/>
              </w:rPr>
            </w:pPr>
            <w:r w:rsidRPr="00495DC2">
              <w:rPr>
                <w:rFonts w:ascii="Arial" w:hAnsi="Arial" w:cs="Arial"/>
                <w:sz w:val="20"/>
                <w:szCs w:val="20"/>
              </w:rPr>
              <w:t>English</w:t>
            </w:r>
          </w:p>
        </w:tc>
      </w:tr>
      <w:tr w:rsidR="00495DC2" w:rsidRPr="00495DC2" w:rsidTr="00495DC2">
        <w:tc>
          <w:tcPr>
            <w:tcW w:w="2235" w:type="dxa"/>
            <w:shd w:val="clear" w:color="auto" w:fill="C4BC96"/>
          </w:tcPr>
          <w:p w:rsidR="00495DC2" w:rsidRPr="00495DC2" w:rsidRDefault="00495DC2" w:rsidP="00495DC2">
            <w:pPr>
              <w:spacing w:after="200" w:line="276" w:lineRule="auto"/>
              <w:rPr>
                <w:rFonts w:ascii="Arial" w:hAnsi="Arial" w:cs="Arial"/>
                <w:sz w:val="20"/>
                <w:szCs w:val="20"/>
              </w:rPr>
            </w:pPr>
            <w:r w:rsidRPr="00495DC2">
              <w:rPr>
                <w:rFonts w:ascii="Arial" w:hAnsi="Arial" w:cs="Arial"/>
                <w:sz w:val="20"/>
                <w:szCs w:val="20"/>
              </w:rPr>
              <w:t>Level of study</w:t>
            </w:r>
          </w:p>
        </w:tc>
        <w:tc>
          <w:tcPr>
            <w:tcW w:w="7053" w:type="dxa"/>
          </w:tcPr>
          <w:p w:rsidR="00495DC2" w:rsidRPr="00495DC2" w:rsidRDefault="00495DC2" w:rsidP="00495DC2">
            <w:pPr>
              <w:spacing w:after="200" w:line="276" w:lineRule="auto"/>
              <w:rPr>
                <w:rFonts w:ascii="Arial" w:hAnsi="Arial" w:cs="Arial"/>
                <w:sz w:val="20"/>
                <w:szCs w:val="20"/>
              </w:rPr>
            </w:pPr>
            <w:r w:rsidRPr="00495DC2">
              <w:rPr>
                <w:rFonts w:ascii="Arial" w:hAnsi="Arial" w:cs="Arial"/>
                <w:sz w:val="20"/>
                <w:szCs w:val="20"/>
              </w:rPr>
              <w:t>Undergraduate</w:t>
            </w:r>
          </w:p>
        </w:tc>
      </w:tr>
      <w:tr w:rsidR="00495DC2" w:rsidRPr="00495DC2" w:rsidTr="00495DC2">
        <w:tc>
          <w:tcPr>
            <w:tcW w:w="2235" w:type="dxa"/>
            <w:shd w:val="clear" w:color="auto" w:fill="C4BC96"/>
          </w:tcPr>
          <w:p w:rsidR="00495DC2" w:rsidRPr="00495DC2" w:rsidRDefault="00495DC2" w:rsidP="00495DC2">
            <w:pPr>
              <w:spacing w:after="200" w:line="276" w:lineRule="auto"/>
              <w:rPr>
                <w:rFonts w:ascii="Arial" w:hAnsi="Arial" w:cs="Arial"/>
                <w:sz w:val="20"/>
                <w:szCs w:val="20"/>
              </w:rPr>
            </w:pPr>
            <w:r w:rsidRPr="00495DC2">
              <w:rPr>
                <w:rFonts w:ascii="Arial" w:hAnsi="Arial" w:cs="Arial"/>
                <w:sz w:val="20"/>
                <w:szCs w:val="20"/>
              </w:rPr>
              <w:t>Content</w:t>
            </w:r>
          </w:p>
        </w:tc>
        <w:tc>
          <w:tcPr>
            <w:tcW w:w="7053" w:type="dxa"/>
          </w:tcPr>
          <w:p w:rsidR="00495DC2" w:rsidRPr="00495DC2" w:rsidRDefault="00495DC2" w:rsidP="00495DC2">
            <w:pPr>
              <w:spacing w:after="200" w:line="276" w:lineRule="auto"/>
              <w:rPr>
                <w:rFonts w:ascii="Arial" w:hAnsi="Arial" w:cs="Arial"/>
                <w:sz w:val="20"/>
                <w:szCs w:val="20"/>
              </w:rPr>
            </w:pPr>
            <w:r w:rsidRPr="00495DC2">
              <w:rPr>
                <w:rFonts w:ascii="Arial" w:hAnsi="Arial" w:cs="Arial"/>
                <w:sz w:val="20"/>
                <w:szCs w:val="20"/>
              </w:rPr>
              <w:t>1. The Ricardo’s model of comparative advantage; 2. Specific factors and income distribution; 3. The Heckscher–Ohlin –Samuelson’s model; 4. The standard model of international trade; 5. Economy of scale, imperfect competition and international trade; 6. The international movement of factors of production; 7. The instruments of foreign trade policy; 8. The political economics of foreign trade policy; 9. Foreign trade policy and developing countries; 10. The controversy of international trade policy.</w:t>
            </w:r>
          </w:p>
        </w:tc>
      </w:tr>
      <w:tr w:rsidR="00495DC2" w:rsidRPr="00495DC2" w:rsidTr="00495DC2">
        <w:tc>
          <w:tcPr>
            <w:tcW w:w="2235" w:type="dxa"/>
            <w:shd w:val="clear" w:color="auto" w:fill="C4BC96"/>
          </w:tcPr>
          <w:p w:rsidR="00495DC2" w:rsidRPr="00495DC2" w:rsidRDefault="00495DC2" w:rsidP="00495DC2">
            <w:pPr>
              <w:spacing w:after="200" w:line="276" w:lineRule="auto"/>
              <w:rPr>
                <w:rFonts w:ascii="Arial" w:hAnsi="Arial" w:cs="Arial"/>
                <w:sz w:val="20"/>
                <w:szCs w:val="20"/>
              </w:rPr>
            </w:pPr>
            <w:r w:rsidRPr="00495DC2">
              <w:rPr>
                <w:rFonts w:ascii="Arial" w:hAnsi="Arial" w:cs="Arial"/>
                <w:sz w:val="20"/>
                <w:szCs w:val="20"/>
              </w:rPr>
              <w:t>Learning outcomes</w:t>
            </w:r>
          </w:p>
        </w:tc>
        <w:tc>
          <w:tcPr>
            <w:tcW w:w="7053" w:type="dxa"/>
          </w:tcPr>
          <w:p w:rsidR="00495DC2" w:rsidRPr="00495DC2" w:rsidRDefault="00495DC2" w:rsidP="00495DC2">
            <w:pPr>
              <w:spacing w:after="200" w:line="276" w:lineRule="auto"/>
              <w:rPr>
                <w:rFonts w:ascii="Arial" w:hAnsi="Arial" w:cs="Arial"/>
                <w:sz w:val="20"/>
                <w:szCs w:val="20"/>
              </w:rPr>
            </w:pPr>
            <w:r w:rsidRPr="00495DC2">
              <w:rPr>
                <w:rFonts w:ascii="Arial" w:hAnsi="Arial" w:cs="Arial"/>
                <w:sz w:val="20"/>
                <w:szCs w:val="20"/>
              </w:rPr>
              <w:t>Students are enabled to understand and predict changes in international trade flows that are the result of functioning of real and monetary, i.e. financial factors. Special competence of successful students refers to their ability to understand and / or propose measures in foreign policy, respecting the whole of their effects. Knowledge of the rules of international organizations allows successful students to understand and / or suggest the proper positioning in the international market.</w:t>
            </w:r>
          </w:p>
        </w:tc>
      </w:tr>
      <w:tr w:rsidR="00495DC2" w:rsidRPr="00495DC2" w:rsidTr="00495DC2">
        <w:tc>
          <w:tcPr>
            <w:tcW w:w="2235" w:type="dxa"/>
            <w:shd w:val="clear" w:color="auto" w:fill="C4BC96"/>
          </w:tcPr>
          <w:p w:rsidR="00495DC2" w:rsidRPr="00495DC2" w:rsidRDefault="00495DC2" w:rsidP="00495DC2">
            <w:pPr>
              <w:spacing w:after="200" w:line="276" w:lineRule="auto"/>
              <w:rPr>
                <w:rFonts w:ascii="Arial" w:hAnsi="Arial" w:cs="Arial"/>
                <w:sz w:val="20"/>
                <w:szCs w:val="20"/>
              </w:rPr>
            </w:pPr>
            <w:r w:rsidRPr="00495DC2">
              <w:rPr>
                <w:rFonts w:ascii="Arial" w:hAnsi="Arial" w:cs="Arial"/>
                <w:sz w:val="20"/>
                <w:szCs w:val="20"/>
              </w:rPr>
              <w:t>Length</w:t>
            </w:r>
          </w:p>
        </w:tc>
        <w:tc>
          <w:tcPr>
            <w:tcW w:w="7053" w:type="dxa"/>
          </w:tcPr>
          <w:p w:rsidR="00495DC2" w:rsidRPr="00495DC2" w:rsidRDefault="00495DC2" w:rsidP="00495DC2">
            <w:pPr>
              <w:spacing w:after="200" w:line="276" w:lineRule="auto"/>
              <w:rPr>
                <w:rFonts w:ascii="Arial" w:hAnsi="Arial" w:cs="Arial"/>
                <w:sz w:val="20"/>
                <w:szCs w:val="20"/>
              </w:rPr>
            </w:pPr>
            <w:r w:rsidRPr="00495DC2">
              <w:rPr>
                <w:rFonts w:ascii="Arial" w:hAnsi="Arial" w:cs="Arial"/>
                <w:sz w:val="20"/>
                <w:szCs w:val="20"/>
              </w:rPr>
              <w:t>Lectures  60     tutorials  30</w:t>
            </w:r>
          </w:p>
          <w:p w:rsidR="00495DC2" w:rsidRPr="00495DC2" w:rsidRDefault="00495DC2" w:rsidP="00495DC2">
            <w:pPr>
              <w:spacing w:after="200" w:line="276" w:lineRule="auto"/>
              <w:rPr>
                <w:rFonts w:ascii="Arial" w:hAnsi="Arial" w:cs="Arial"/>
                <w:sz w:val="20"/>
                <w:szCs w:val="20"/>
              </w:rPr>
            </w:pPr>
          </w:p>
        </w:tc>
      </w:tr>
      <w:tr w:rsidR="00495DC2" w:rsidRPr="00495DC2" w:rsidTr="00495DC2">
        <w:tc>
          <w:tcPr>
            <w:tcW w:w="2235" w:type="dxa"/>
            <w:shd w:val="clear" w:color="auto" w:fill="C4BC96"/>
          </w:tcPr>
          <w:p w:rsidR="00495DC2" w:rsidRPr="00495DC2" w:rsidRDefault="00495DC2" w:rsidP="00495DC2">
            <w:pPr>
              <w:spacing w:after="200" w:line="276" w:lineRule="auto"/>
              <w:rPr>
                <w:rFonts w:ascii="Arial" w:hAnsi="Arial" w:cs="Arial"/>
                <w:sz w:val="20"/>
                <w:szCs w:val="20"/>
              </w:rPr>
            </w:pPr>
            <w:r w:rsidRPr="00495DC2">
              <w:rPr>
                <w:rFonts w:ascii="Arial" w:hAnsi="Arial" w:cs="Arial"/>
                <w:sz w:val="20"/>
                <w:szCs w:val="20"/>
              </w:rPr>
              <w:t>General information</w:t>
            </w:r>
          </w:p>
        </w:tc>
        <w:tc>
          <w:tcPr>
            <w:tcW w:w="7053" w:type="dxa"/>
          </w:tcPr>
          <w:p w:rsidR="00495DC2" w:rsidRPr="00495DC2" w:rsidRDefault="00495DC2" w:rsidP="00495DC2">
            <w:pPr>
              <w:spacing w:after="200" w:line="276" w:lineRule="auto"/>
              <w:rPr>
                <w:rFonts w:ascii="Arial" w:hAnsi="Arial" w:cs="Arial"/>
                <w:sz w:val="20"/>
                <w:szCs w:val="20"/>
              </w:rPr>
            </w:pPr>
            <w:r w:rsidRPr="00495DC2">
              <w:rPr>
                <w:rFonts w:ascii="Arial" w:hAnsi="Arial" w:cs="Arial"/>
                <w:sz w:val="20"/>
                <w:szCs w:val="20"/>
              </w:rPr>
              <w:t>The course International trade provides students with basic analytical knowledge and information from the field of international trade, including theory, policy and the institutionalization of international trade flows. Students learn about the most important models that explain the scope, direction and structure of international trade, as well as trade policy instruments which affect it.</w:t>
            </w:r>
          </w:p>
        </w:tc>
      </w:tr>
      <w:tr w:rsidR="00495DC2" w:rsidRPr="00495DC2" w:rsidTr="00495DC2">
        <w:tc>
          <w:tcPr>
            <w:tcW w:w="2235" w:type="dxa"/>
            <w:shd w:val="clear" w:color="auto" w:fill="C4BC96"/>
          </w:tcPr>
          <w:p w:rsidR="00495DC2" w:rsidRPr="00495DC2" w:rsidRDefault="00495DC2" w:rsidP="00495DC2">
            <w:pPr>
              <w:spacing w:after="200" w:line="276" w:lineRule="auto"/>
              <w:rPr>
                <w:rFonts w:ascii="Arial" w:hAnsi="Arial" w:cs="Arial"/>
                <w:sz w:val="20"/>
                <w:szCs w:val="20"/>
              </w:rPr>
            </w:pPr>
            <w:r w:rsidRPr="00495DC2">
              <w:rPr>
                <w:rFonts w:ascii="Arial" w:hAnsi="Arial" w:cs="Arial"/>
                <w:sz w:val="20"/>
                <w:szCs w:val="20"/>
              </w:rPr>
              <w:t>Restrictions to mobile students and availability before the signature of the learning agreement</w:t>
            </w:r>
          </w:p>
        </w:tc>
        <w:tc>
          <w:tcPr>
            <w:tcW w:w="7053" w:type="dxa"/>
          </w:tcPr>
          <w:p w:rsidR="00495DC2" w:rsidRPr="00495DC2" w:rsidRDefault="00495DC2" w:rsidP="00495DC2">
            <w:pPr>
              <w:spacing w:after="200" w:line="276" w:lineRule="auto"/>
              <w:rPr>
                <w:rFonts w:ascii="Arial" w:hAnsi="Arial" w:cs="Arial"/>
                <w:sz w:val="20"/>
                <w:szCs w:val="20"/>
              </w:rPr>
            </w:pPr>
            <w:r w:rsidRPr="00495DC2">
              <w:rPr>
                <w:rFonts w:ascii="Arial" w:hAnsi="Arial" w:cs="Arial"/>
                <w:sz w:val="20"/>
                <w:szCs w:val="20"/>
              </w:rPr>
              <w:t>There is no any restrictions.</w:t>
            </w:r>
          </w:p>
          <w:p w:rsidR="00495DC2" w:rsidRPr="00495DC2" w:rsidRDefault="00495DC2" w:rsidP="00495DC2">
            <w:pPr>
              <w:spacing w:after="200" w:line="276" w:lineRule="auto"/>
              <w:rPr>
                <w:rFonts w:ascii="Arial" w:hAnsi="Arial" w:cs="Arial"/>
                <w:sz w:val="20"/>
                <w:szCs w:val="20"/>
              </w:rPr>
            </w:pPr>
          </w:p>
          <w:p w:rsidR="00495DC2" w:rsidRPr="00495DC2" w:rsidRDefault="00495DC2" w:rsidP="00495DC2">
            <w:pPr>
              <w:spacing w:after="200" w:line="276" w:lineRule="auto"/>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C2"/>
    <w:rsid w:val="00495DC2"/>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79F00-D9F0-4EAC-84E3-5ACECD0E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DC2"/>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2018-04-03T11:18:00Z</dcterms:created>
  <dcterms:modified xsi:type="dcterms:W3CDTF">2018-04-03T11:18:00Z</dcterms:modified>
</cp:coreProperties>
</file>