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9365BE" w:rsidRPr="009365BE" w:rsidTr="00110618">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2384"/>
                  </w:tblGrid>
                  <w:tr w:rsidR="009365BE" w:rsidRPr="009365BE" w:rsidTr="00110618">
                    <w:trPr>
                      <w:trHeight w:val="103"/>
                    </w:trPr>
                    <w:tc>
                      <w:tcPr>
                        <w:tcW w:w="0" w:type="auto"/>
                      </w:tcPr>
                      <w:p w:rsidR="009365BE" w:rsidRPr="009365BE" w:rsidRDefault="009365BE" w:rsidP="009365BE">
                        <w:pPr>
                          <w:spacing w:after="0" w:line="240" w:lineRule="auto"/>
                          <w:rPr>
                            <w:rFonts w:ascii="Arial" w:eastAsia="Calibri" w:hAnsi="Arial" w:cs="Arial"/>
                            <w:b/>
                            <w:bCs/>
                            <w:color w:val="000000"/>
                            <w:sz w:val="20"/>
                            <w:szCs w:val="20"/>
                            <w:u w:val="single"/>
                            <w:lang w:eastAsia="en-US"/>
                          </w:rPr>
                        </w:pPr>
                        <w:bookmarkStart w:id="0" w:name="_GoBack"/>
                        <w:r w:rsidRPr="009365BE">
                          <w:rPr>
                            <w:rFonts w:ascii="Arial" w:eastAsia="Calibri" w:hAnsi="Arial" w:cs="Arial"/>
                            <w:b/>
                            <w:bCs/>
                            <w:color w:val="000000"/>
                            <w:sz w:val="20"/>
                            <w:szCs w:val="20"/>
                            <w:u w:val="single"/>
                            <w:lang w:eastAsia="en-US"/>
                          </w:rPr>
                          <w:t>Mathematical Software</w:t>
                        </w:r>
                      </w:p>
                      <w:bookmarkEnd w:id="0"/>
                      <w:p w:rsidR="009365BE" w:rsidRPr="009365BE" w:rsidRDefault="009365BE" w:rsidP="009365BE">
                        <w:pPr>
                          <w:spacing w:after="0" w:line="240" w:lineRule="auto"/>
                          <w:rPr>
                            <w:rFonts w:ascii="Arial" w:eastAsia="Calibri" w:hAnsi="Arial" w:cs="Arial"/>
                            <w:b/>
                            <w:color w:val="000000"/>
                            <w:sz w:val="20"/>
                            <w:szCs w:val="20"/>
                            <w:u w:val="single"/>
                            <w:lang w:eastAsia="en-US"/>
                          </w:rPr>
                        </w:pPr>
                        <w:r w:rsidRPr="009365BE">
                          <w:rPr>
                            <w:rFonts w:ascii="Arial" w:eastAsia="Calibri" w:hAnsi="Arial" w:cs="Arial"/>
                            <w:b/>
                            <w:bCs/>
                            <w:color w:val="000000"/>
                            <w:sz w:val="20"/>
                            <w:szCs w:val="20"/>
                            <w:u w:val="single"/>
                            <w:lang w:eastAsia="en-US"/>
                          </w:rPr>
                          <w:t xml:space="preserve"> </w:t>
                        </w:r>
                      </w:p>
                    </w:tc>
                  </w:tr>
                </w:tbl>
                <w:p w:rsidR="009365BE" w:rsidRPr="009365BE" w:rsidRDefault="009365BE" w:rsidP="009365BE">
                  <w:pPr>
                    <w:spacing w:after="0" w:line="240" w:lineRule="auto"/>
                    <w:rPr>
                      <w:rFonts w:ascii="Arial" w:eastAsia="Calibri" w:hAnsi="Arial" w:cs="Arial"/>
                      <w:sz w:val="20"/>
                      <w:szCs w:val="20"/>
                      <w:lang w:eastAsia="en-US"/>
                    </w:rPr>
                  </w:pPr>
                </w:p>
              </w:tc>
            </w:tr>
          </w:tbl>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Semester</w:t>
            </w:r>
          </w:p>
          <w:p w:rsidR="009365BE" w:rsidRPr="009365BE" w:rsidRDefault="009365BE" w:rsidP="009365BE">
            <w:pPr>
              <w:rPr>
                <w:rFonts w:ascii="Arial" w:hAnsi="Arial" w:cs="Arial"/>
                <w:sz w:val="20"/>
                <w:szCs w:val="20"/>
              </w:rPr>
            </w:pP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Spring semester</w:t>
            </w:r>
          </w:p>
          <w:p w:rsidR="009365BE" w:rsidRPr="009365BE" w:rsidRDefault="009365BE" w:rsidP="009365BE">
            <w:pPr>
              <w:rPr>
                <w:rFonts w:ascii="Arial" w:hAnsi="Arial" w:cs="Arial"/>
                <w:sz w:val="20"/>
                <w:szCs w:val="20"/>
                <w:lang w:val="da-DK"/>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Faculty / Department</w:t>
            </w:r>
          </w:p>
        </w:tc>
        <w:tc>
          <w:tcPr>
            <w:tcW w:w="7053" w:type="dxa"/>
          </w:tcPr>
          <w:p w:rsidR="009365BE" w:rsidRPr="009365BE" w:rsidRDefault="009365BE" w:rsidP="009365BE">
            <w:pPr>
              <w:rPr>
                <w:rFonts w:ascii="Arial" w:hAnsi="Arial" w:cs="Arial"/>
                <w:sz w:val="20"/>
                <w:szCs w:val="20"/>
              </w:rPr>
            </w:pPr>
            <w:r w:rsidRPr="009365BE">
              <w:rPr>
                <w:rFonts w:ascii="Arial" w:hAnsi="Arial" w:cs="Arial"/>
                <w:color w:val="000000"/>
                <w:sz w:val="20"/>
                <w:szCs w:val="20"/>
              </w:rPr>
              <w:t>Faculty of Computer Science</w:t>
            </w:r>
            <w:r w:rsidRPr="009365BE">
              <w:rPr>
                <w:rFonts w:ascii="Arial" w:hAnsi="Arial" w:cs="Arial"/>
                <w:sz w:val="20"/>
                <w:szCs w:val="20"/>
              </w:rPr>
              <w:t xml:space="preserve"> </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084"/>
            </w:tblGrid>
            <w:tr w:rsidR="009365BE" w:rsidRPr="009365BE" w:rsidTr="00110618">
              <w:trPr>
                <w:trHeight w:val="103"/>
              </w:trPr>
              <w:tc>
                <w:tcPr>
                  <w:tcW w:w="0" w:type="auto"/>
                </w:tcPr>
                <w:p w:rsidR="009365BE" w:rsidRPr="009365BE" w:rsidRDefault="009365BE" w:rsidP="009365BE">
                  <w:pPr>
                    <w:spacing w:after="0" w:line="240" w:lineRule="auto"/>
                    <w:rPr>
                      <w:rFonts w:ascii="Arial" w:eastAsia="Calibri" w:hAnsi="Arial" w:cs="Arial"/>
                      <w:color w:val="000000"/>
                      <w:sz w:val="20"/>
                      <w:szCs w:val="20"/>
                      <w:lang w:eastAsia="en-US"/>
                    </w:rPr>
                  </w:pPr>
                  <w:r w:rsidRPr="009365BE">
                    <w:rPr>
                      <w:rFonts w:ascii="Arial" w:eastAsia="Calibri" w:hAnsi="Arial" w:cs="Arial"/>
                      <w:color w:val="000000"/>
                      <w:sz w:val="20"/>
                      <w:szCs w:val="20"/>
                      <w:lang w:eastAsia="en-US"/>
                    </w:rPr>
                    <w:t xml:space="preserve">Professor </w:t>
                  </w:r>
                  <w:proofErr w:type="spellStart"/>
                  <w:r w:rsidRPr="009365BE">
                    <w:rPr>
                      <w:rFonts w:ascii="Arial" w:eastAsia="Calibri" w:hAnsi="Arial" w:cs="Arial"/>
                      <w:color w:val="000000"/>
                      <w:sz w:val="20"/>
                      <w:szCs w:val="20"/>
                      <w:lang w:eastAsia="en-US"/>
                    </w:rPr>
                    <w:t>Goran</w:t>
                  </w:r>
                  <w:proofErr w:type="spellEnd"/>
                  <w:r w:rsidRPr="009365BE">
                    <w:rPr>
                      <w:rFonts w:ascii="Arial" w:eastAsia="Calibri" w:hAnsi="Arial" w:cs="Arial"/>
                      <w:color w:val="000000"/>
                      <w:sz w:val="20"/>
                      <w:szCs w:val="20"/>
                      <w:lang w:eastAsia="en-US"/>
                    </w:rPr>
                    <w:t xml:space="preserve"> </w:t>
                  </w:r>
                  <w:proofErr w:type="spellStart"/>
                  <w:r w:rsidRPr="009365BE">
                    <w:rPr>
                      <w:rFonts w:ascii="Arial" w:eastAsia="Calibri" w:hAnsi="Arial" w:cs="Arial"/>
                      <w:color w:val="000000"/>
                      <w:sz w:val="20"/>
                      <w:szCs w:val="20"/>
                      <w:lang w:eastAsia="en-US"/>
                    </w:rPr>
                    <w:t>Slavković</w:t>
                  </w:r>
                  <w:proofErr w:type="spellEnd"/>
                  <w:r w:rsidRPr="009365BE">
                    <w:rPr>
                      <w:rFonts w:ascii="Arial" w:eastAsia="Calibri" w:hAnsi="Arial" w:cs="Arial"/>
                      <w:color w:val="000000"/>
                      <w:sz w:val="20"/>
                      <w:szCs w:val="20"/>
                      <w:lang w:eastAsia="en-US"/>
                    </w:rPr>
                    <w:t>, PhD</w:t>
                  </w:r>
                </w:p>
                <w:p w:rsidR="009365BE" w:rsidRPr="009365BE" w:rsidRDefault="009365BE" w:rsidP="009365BE">
                  <w:pPr>
                    <w:spacing w:after="0" w:line="240" w:lineRule="auto"/>
                    <w:rPr>
                      <w:rFonts w:ascii="Arial" w:eastAsia="Calibri" w:hAnsi="Arial" w:cs="Arial"/>
                      <w:color w:val="000000"/>
                      <w:sz w:val="20"/>
                      <w:szCs w:val="20"/>
                      <w:lang w:eastAsia="en-US"/>
                    </w:rPr>
                  </w:pPr>
                  <w:r w:rsidRPr="009365BE">
                    <w:rPr>
                      <w:rFonts w:ascii="Arial" w:eastAsia="Calibri" w:hAnsi="Arial" w:cs="Arial"/>
                      <w:color w:val="000000"/>
                      <w:sz w:val="20"/>
                      <w:szCs w:val="20"/>
                      <w:lang w:eastAsia="en-US"/>
                    </w:rPr>
                    <w:t xml:space="preserve"> </w:t>
                  </w:r>
                </w:p>
              </w:tc>
            </w:tr>
          </w:tbl>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ECTS credits</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7</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Language of instruction</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English</w:t>
            </w: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Level of study</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Bachelor</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Content</w:t>
            </w:r>
          </w:p>
        </w:tc>
        <w:tc>
          <w:tcPr>
            <w:tcW w:w="7053" w:type="dxa"/>
          </w:tcPr>
          <w:p w:rsidR="009365BE" w:rsidRPr="009365BE" w:rsidRDefault="009365BE" w:rsidP="009365BE">
            <w:pPr>
              <w:rPr>
                <w:rFonts w:ascii="Arial" w:hAnsi="Arial" w:cs="Arial"/>
                <w:sz w:val="20"/>
                <w:szCs w:val="20"/>
              </w:rPr>
            </w:pPr>
            <w:r w:rsidRPr="009365BE">
              <w:rPr>
                <w:rFonts w:ascii="Arial" w:hAnsi="Arial" w:cs="Arial"/>
                <w:color w:val="000000"/>
                <w:sz w:val="20"/>
                <w:szCs w:val="20"/>
              </w:rPr>
              <w:t>Chapters are organized thematically and provide an introduction to engineering problem solving, Matlab environment almost MATLAB functions, Drawing, Programming in Matlab, calculating with matrices, symbolic mathematics, numerical techniques, Advanced commands and functions.</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Learning outcomes</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lang w:val="sr-Cyrl-CS"/>
              </w:rPr>
              <w:t>At the end of the course, it is expected that a successful student adopts the basics of Matlab, as well as software tools and methods of operation of this program.</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Length</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One semester.</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General information</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lang w:val="sr-Cyrl-CS"/>
              </w:rPr>
              <w:t xml:space="preserve">The aim of the course is to introduce students to the key terms related to Matlab and various mathematical problems </w:t>
            </w:r>
            <w:r w:rsidRPr="009365BE">
              <w:rPr>
                <w:rFonts w:ascii="Arial" w:hAnsi="Arial" w:cs="Arial"/>
                <w:sz w:val="20"/>
                <w:szCs w:val="20"/>
                <w:lang w:val="sr-Latn-CS"/>
              </w:rPr>
              <w:t xml:space="preserve">that are </w:t>
            </w:r>
            <w:r w:rsidRPr="009365BE">
              <w:rPr>
                <w:rFonts w:ascii="Arial" w:hAnsi="Arial" w:cs="Arial"/>
                <w:sz w:val="20"/>
                <w:szCs w:val="20"/>
                <w:lang w:val="sr-Cyrl-CS"/>
              </w:rPr>
              <w:t>successfully solve</w:t>
            </w:r>
            <w:r w:rsidRPr="009365BE">
              <w:rPr>
                <w:rFonts w:ascii="Arial" w:hAnsi="Arial" w:cs="Arial"/>
                <w:sz w:val="20"/>
                <w:szCs w:val="20"/>
                <w:lang w:val="sr-Latn-CS"/>
              </w:rPr>
              <w:t>d</w:t>
            </w:r>
            <w:r w:rsidRPr="009365BE">
              <w:rPr>
                <w:rFonts w:ascii="Arial" w:hAnsi="Arial" w:cs="Arial"/>
                <w:sz w:val="20"/>
                <w:szCs w:val="20"/>
                <w:lang w:val="sr-Cyrl-CS"/>
              </w:rPr>
              <w:t xml:space="preserve"> with the help of Matlab -a. Students become familiar with other mathematical software: Mathcad, Mathematica, Derive, Maple, R, SPSS.</w:t>
            </w:r>
          </w:p>
          <w:p w:rsidR="009365BE" w:rsidRPr="009365BE" w:rsidRDefault="009365BE" w:rsidP="009365BE">
            <w:pPr>
              <w:rPr>
                <w:rFonts w:ascii="Arial" w:hAnsi="Arial" w:cs="Arial"/>
                <w:sz w:val="20"/>
                <w:szCs w:val="20"/>
              </w:rPr>
            </w:pPr>
          </w:p>
        </w:tc>
      </w:tr>
      <w:tr w:rsidR="009365BE" w:rsidRPr="009365BE" w:rsidTr="009365BE">
        <w:tc>
          <w:tcPr>
            <w:tcW w:w="2235" w:type="dxa"/>
            <w:shd w:val="clear" w:color="auto" w:fill="C4BC96"/>
          </w:tcPr>
          <w:p w:rsidR="009365BE" w:rsidRPr="009365BE" w:rsidRDefault="009365BE" w:rsidP="009365BE">
            <w:pPr>
              <w:rPr>
                <w:rFonts w:ascii="Arial" w:hAnsi="Arial" w:cs="Arial"/>
                <w:sz w:val="20"/>
                <w:szCs w:val="20"/>
              </w:rPr>
            </w:pPr>
            <w:r w:rsidRPr="009365BE">
              <w:rPr>
                <w:rFonts w:ascii="Arial" w:hAnsi="Arial" w:cs="Arial"/>
                <w:sz w:val="20"/>
                <w:szCs w:val="20"/>
              </w:rPr>
              <w:t>Restrictions to mobile students and availability before the signature of the learning agreement</w:t>
            </w:r>
          </w:p>
        </w:tc>
        <w:tc>
          <w:tcPr>
            <w:tcW w:w="7053" w:type="dxa"/>
          </w:tcPr>
          <w:p w:rsidR="009365BE" w:rsidRPr="009365BE" w:rsidRDefault="009365BE" w:rsidP="009365BE">
            <w:pPr>
              <w:rPr>
                <w:rFonts w:ascii="Arial" w:hAnsi="Arial" w:cs="Arial"/>
                <w:sz w:val="20"/>
                <w:szCs w:val="20"/>
              </w:rPr>
            </w:pPr>
            <w:r w:rsidRPr="009365BE">
              <w:rPr>
                <w:rFonts w:ascii="Arial" w:hAnsi="Arial" w:cs="Arial"/>
                <w:sz w:val="20"/>
                <w:szCs w:val="20"/>
              </w:rPr>
              <w:t>There is no any restrictions.</w:t>
            </w:r>
          </w:p>
          <w:p w:rsidR="009365BE" w:rsidRPr="009365BE" w:rsidRDefault="009365BE" w:rsidP="009365BE">
            <w:pPr>
              <w:rPr>
                <w:rFonts w:ascii="Arial" w:hAnsi="Arial" w:cs="Arial"/>
                <w:sz w:val="20"/>
                <w:szCs w:val="20"/>
              </w:rPr>
            </w:pPr>
          </w:p>
          <w:p w:rsidR="009365BE" w:rsidRPr="009365BE" w:rsidRDefault="009365BE" w:rsidP="009365BE">
            <w:pPr>
              <w:rPr>
                <w:rFonts w:ascii="Arial" w:hAnsi="Arial" w:cs="Arial"/>
                <w:sz w:val="20"/>
                <w:szCs w:val="20"/>
              </w:rPr>
            </w:pPr>
          </w:p>
          <w:p w:rsidR="009365BE" w:rsidRPr="009365BE" w:rsidRDefault="009365BE" w:rsidP="009365BE">
            <w:pPr>
              <w:rPr>
                <w:rFonts w:ascii="Arial" w:hAnsi="Arial" w:cs="Arial"/>
                <w:sz w:val="20"/>
                <w:szCs w:val="20"/>
              </w:rPr>
            </w:pPr>
          </w:p>
          <w:p w:rsidR="009365BE" w:rsidRPr="009365BE" w:rsidRDefault="009365BE" w:rsidP="009365BE">
            <w:pPr>
              <w:rPr>
                <w:rFonts w:ascii="Arial" w:hAnsi="Arial" w:cs="Arial"/>
                <w:sz w:val="20"/>
                <w:szCs w:val="20"/>
              </w:rPr>
            </w:pPr>
          </w:p>
          <w:p w:rsidR="009365BE" w:rsidRPr="009365BE" w:rsidRDefault="009365BE" w:rsidP="009365BE">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E"/>
    <w:rsid w:val="009365BE"/>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AB99-9371-4A84-9F18-D59A6B72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5BE"/>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2018-04-03T11:13:00Z</dcterms:created>
  <dcterms:modified xsi:type="dcterms:W3CDTF">2018-04-03T11:13:00Z</dcterms:modified>
</cp:coreProperties>
</file>