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6863"/>
      </w:tblGrid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4A025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Public Relations</w:t>
            </w:r>
          </w:p>
          <w:bookmarkEnd w:id="0"/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4A0258">
              <w:rPr>
                <w:rFonts w:ascii="Arial" w:hAnsi="Arial" w:cs="Arial"/>
                <w:sz w:val="20"/>
                <w:szCs w:val="20"/>
                <w:lang w:val="da-DK"/>
              </w:rPr>
              <w:t>Spring semester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0258">
              <w:rPr>
                <w:rFonts w:ascii="Arial" w:eastAsia="Times New Roman" w:hAnsi="Arial" w:cs="Arial"/>
                <w:sz w:val="20"/>
                <w:szCs w:val="20"/>
              </w:rPr>
              <w:t>Faculty of Business Studies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0258">
              <w:rPr>
                <w:rFonts w:ascii="Arial" w:eastAsia="Times New Roman" w:hAnsi="Arial" w:cs="Arial"/>
                <w:sz w:val="20"/>
                <w:szCs w:val="20"/>
              </w:rPr>
              <w:t>Doc. Mirjana Tankosić, PhD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1. Definition of PR and its basic functions.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2. Historical and development aspect.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3. Basic strategies and objectives of public relations.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4. Models of organizing PR.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5. PR in crisis situations.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6. Mass media and public relations.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7. Corporate identity and the world of symbols.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8. Trademark and logo.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9. Photograph and PR.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10. Personal PR of business people, public figures and artists.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11. Organizing press conferences.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12. Ethics of public relations.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0258">
              <w:rPr>
                <w:rFonts w:ascii="Arial" w:hAnsi="Arial" w:cs="Arial"/>
                <w:bCs/>
                <w:sz w:val="20"/>
                <w:szCs w:val="20"/>
              </w:rPr>
              <w:t>Better understanding of the relationship between an organization and its surrounding.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bCs/>
                <w:sz w:val="20"/>
                <w:szCs w:val="20"/>
              </w:rPr>
              <w:t>Getting acquainted with the activities used in practice (announcement, relation with media, relation with target groups).</w:t>
            </w:r>
            <w:r w:rsidRPr="004A025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One semester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Acquiring the skill of balancing between an organization and its target group.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258" w:rsidRPr="004A0258" w:rsidTr="004A0258">
        <w:tc>
          <w:tcPr>
            <w:tcW w:w="2199" w:type="dxa"/>
            <w:shd w:val="clear" w:color="auto" w:fill="C4BC96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</w:tcPr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  <w:r w:rsidRPr="004A0258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258" w:rsidRPr="004A0258" w:rsidRDefault="004A0258" w:rsidP="004A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58"/>
    <w:rsid w:val="004A0258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0CFEB-EDC2-4C2C-84B3-421E7F5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58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2018-04-03T11:03:00Z</dcterms:created>
  <dcterms:modified xsi:type="dcterms:W3CDTF">2018-04-03T11:04:00Z</dcterms:modified>
</cp:coreProperties>
</file>