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51"/>
            </w:tblGrid>
            <w:tr w:rsidR="00D44275" w:rsidRPr="00D44275" w:rsidTr="00110618">
              <w:trPr>
                <w:trHeight w:val="103"/>
              </w:trPr>
              <w:tc>
                <w:tcPr>
                  <w:tcW w:w="0" w:type="auto"/>
                </w:tcPr>
                <w:p w:rsidR="00D44275" w:rsidRPr="00D44275" w:rsidRDefault="00D44275" w:rsidP="00D44275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color w:val="000000"/>
                      <w:sz w:val="20"/>
                      <w:szCs w:val="20"/>
                      <w:u w:val="single"/>
                      <w:lang w:eastAsia="en-US"/>
                    </w:rPr>
                  </w:pPr>
                  <w:bookmarkStart w:id="0" w:name="_GoBack" w:colFirst="0" w:colLast="0"/>
                  <w:r w:rsidRPr="00D44275">
                    <w:rPr>
                      <w:rFonts w:ascii="Arial" w:eastAsia="Calibri" w:hAnsi="Arial" w:cs="Arial"/>
                      <w:b/>
                      <w:bCs/>
                      <w:color w:val="000000"/>
                      <w:sz w:val="20"/>
                      <w:szCs w:val="20"/>
                      <w:u w:val="single"/>
                      <w:lang w:eastAsia="en-US"/>
                    </w:rPr>
                    <w:t xml:space="preserve">Social and Professional Issues </w:t>
                  </w:r>
                </w:p>
              </w:tc>
            </w:tr>
            <w:bookmarkEnd w:id="0"/>
            <w:tr w:rsidR="00D44275" w:rsidRPr="00D44275" w:rsidTr="00110618">
              <w:trPr>
                <w:trHeight w:val="103"/>
              </w:trPr>
              <w:tc>
                <w:tcPr>
                  <w:tcW w:w="0" w:type="auto"/>
                </w:tcPr>
                <w:p w:rsidR="00D44275" w:rsidRPr="00D44275" w:rsidRDefault="00D44275" w:rsidP="00D44275">
                  <w:pPr>
                    <w:spacing w:after="0" w:line="240" w:lineRule="auto"/>
                    <w:rPr>
                      <w:rFonts w:ascii="Arial" w:eastAsia="Calibri" w:hAnsi="Arial" w:cs="Arial"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Spring semester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Faculty of Computer Science</w:t>
            </w:r>
            <w:r w:rsidRPr="00D442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4"/>
            </w:tblGrid>
            <w:tr w:rsidR="00D44275" w:rsidRPr="00D44275" w:rsidTr="00110618">
              <w:trPr>
                <w:trHeight w:val="103"/>
              </w:trPr>
              <w:tc>
                <w:tcPr>
                  <w:tcW w:w="0" w:type="auto"/>
                </w:tcPr>
                <w:p w:rsidR="00D44275" w:rsidRPr="00D44275" w:rsidRDefault="00D44275" w:rsidP="00D44275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442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Professor </w:t>
                  </w:r>
                  <w:proofErr w:type="spellStart"/>
                  <w:r w:rsidRPr="00D442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Goran</w:t>
                  </w:r>
                  <w:proofErr w:type="spellEnd"/>
                  <w:r w:rsidRPr="00D442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D442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Slavković</w:t>
                  </w:r>
                  <w:proofErr w:type="spellEnd"/>
                  <w:r w:rsidRPr="00D442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>, PhD</w:t>
                  </w:r>
                </w:p>
                <w:p w:rsidR="00D44275" w:rsidRPr="00D44275" w:rsidRDefault="00D44275" w:rsidP="00D44275">
                  <w:pPr>
                    <w:spacing w:after="0" w:line="240" w:lineRule="auto"/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44275">
                    <w:rPr>
                      <w:rFonts w:ascii="Arial" w:eastAsia="Calibri" w:hAnsi="Arial" w:cs="Arial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Sociology as a science, concept and subject of sociology; Groups and organizations; Scientific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te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chological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development and society; Social values; Social power; The structure of society: class and elite; The class structure of our society; Social mobility; Modern social systems; Globali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sation of modern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society; Society in transition; Ecology and society; Work; Organized labor; Economic democracy and participation.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Getting basic sociological knowledge with the ability to recognize the practical and social categories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 xml:space="preserve"> its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application.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 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Student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will gain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basic knowledge of sociology, major social categories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rules that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regarding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the organizational context and  main features and characteristics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 xml:space="preserve"> of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our society s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o that they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can be use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 xml:space="preserve"> the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 knowled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ge in practice, i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>e. understand the social context of organizational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  <w:t xml:space="preserve">phenomena and the sociological way of thinking </w:t>
            </w:r>
            <w:r w:rsidRPr="00D44275">
              <w:rPr>
                <w:rFonts w:ascii="Arial" w:hAnsi="Arial" w:cs="Arial"/>
                <w:color w:val="000000"/>
                <w:sz w:val="20"/>
                <w:szCs w:val="20"/>
              </w:rPr>
              <w:t>about the ones.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275" w:rsidRPr="00D44275" w:rsidTr="00D44275">
        <w:tc>
          <w:tcPr>
            <w:tcW w:w="2235" w:type="dxa"/>
            <w:shd w:val="clear" w:color="auto" w:fill="C4BC96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  <w:r w:rsidRPr="00D44275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5" w:rsidRPr="00D44275" w:rsidRDefault="00D44275" w:rsidP="00D442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75"/>
    <w:rsid w:val="00D44275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837410-6DD6-43EE-B858-01D605377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75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2018-04-03T11:02:00Z</dcterms:created>
  <dcterms:modified xsi:type="dcterms:W3CDTF">2018-04-03T11:02:00Z</dcterms:modified>
</cp:coreProperties>
</file>